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3B6F03" w:rsidRDefault="00F92268" w:rsidP="00850792">
      <w:pPr>
        <w:pStyle w:val="BodyText"/>
        <w:rPr>
          <w:sz w:val="6"/>
          <w:szCs w:val="6"/>
        </w:rPr>
      </w:pPr>
      <w:r w:rsidRPr="003B6F03">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3B6F03"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3B6F03" w:rsidRDefault="00F92268" w:rsidP="00F246C7">
            <w:pPr>
              <w:pStyle w:val="RefTableData"/>
            </w:pPr>
            <w:r w:rsidRPr="003B6F03">
              <w:t>Reference number(s)</w:t>
            </w:r>
          </w:p>
        </w:tc>
      </w:tr>
      <w:tr w:rsidR="00F92268" w:rsidRPr="003B6F03"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2FA7FC90" w:rsidR="00F92268" w:rsidRPr="003B6F03" w:rsidRDefault="00EC4286" w:rsidP="00F246C7">
            <w:pPr>
              <w:pStyle w:val="RefTableHeader"/>
            </w:pPr>
            <w:r w:rsidRPr="003B6F03">
              <w:t>2021-A</w:t>
            </w:r>
          </w:p>
        </w:tc>
      </w:tr>
    </w:tbl>
    <w:p w14:paraId="74FBA5B4" w14:textId="77777777" w:rsidR="00051356" w:rsidRPr="006D5A1F" w:rsidRDefault="00051356" w:rsidP="005A797A">
      <w:pPr>
        <w:pStyle w:val="BodyText"/>
        <w:spacing w:after="0"/>
        <w:rPr>
          <w:b/>
          <w:bCs/>
          <w:sz w:val="16"/>
          <w:szCs w:val="16"/>
        </w:rPr>
        <w:sectPr w:rsidR="00051356" w:rsidRPr="006D5A1F" w:rsidSect="00051356">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6AE8E8C6" w:rsidR="004B15BB" w:rsidRPr="003B6F03" w:rsidRDefault="00861E28" w:rsidP="00861E28">
      <w:pPr>
        <w:pStyle w:val="Heading1"/>
      </w:pPr>
      <w:r w:rsidRPr="003B6F03">
        <w:t>Specialty Guideline Management</w:t>
      </w:r>
      <w:r w:rsidRPr="003B6F03">
        <w:br/>
      </w:r>
      <w:r w:rsidR="00447E27" w:rsidRPr="00447E27">
        <w:t>everolimus Products</w:t>
      </w:r>
      <w:r w:rsidR="00447E27" w:rsidRPr="00447E27" w:rsidDel="00447E27">
        <w:t xml:space="preserve"> </w:t>
      </w:r>
    </w:p>
    <w:p w14:paraId="78861C92" w14:textId="26A3042B" w:rsidR="00203468" w:rsidRPr="003B6F03" w:rsidRDefault="00C64534" w:rsidP="008E0F0D">
      <w:pPr>
        <w:pStyle w:val="Heading2"/>
      </w:pPr>
      <w:r w:rsidRPr="003B6F03">
        <w:t xml:space="preserve">Products Referenced by this </w:t>
      </w:r>
      <w:r w:rsidR="00501602" w:rsidRPr="003B6F03">
        <w:t>Document</w:t>
      </w:r>
    </w:p>
    <w:p w14:paraId="07868740" w14:textId="1837F16E" w:rsidR="00725714" w:rsidRPr="003B6F03" w:rsidRDefault="00D82D85" w:rsidP="00861E28">
      <w:pPr>
        <w:pStyle w:val="BodyText"/>
      </w:pPr>
      <w:r w:rsidRPr="003B6F03">
        <w:t xml:space="preserve">Drugs that are listed in the </w:t>
      </w:r>
      <w:r w:rsidR="000315F1" w:rsidRPr="003B6F03">
        <w:t>following table</w:t>
      </w:r>
      <w:r w:rsidRPr="003B6F03">
        <w:t xml:space="preserve"> include both brand and generic and all dosage forms and strengths unless otherwise stated. </w:t>
      </w:r>
      <w:r w:rsidR="00591FA5" w:rsidRPr="00591FA5">
        <w:t>Over</w:t>
      </w:r>
      <w:r w:rsidR="00353DB2">
        <w:t>-</w:t>
      </w:r>
      <w:r w:rsidR="00591FA5" w:rsidRPr="00591FA5">
        <w:t>the</w:t>
      </w:r>
      <w:r w:rsidR="00353DB2">
        <w:t>-</w:t>
      </w:r>
      <w:r w:rsidR="00591FA5" w:rsidRPr="00591FA5">
        <w:t>counter (OTC)</w:t>
      </w:r>
      <w:r w:rsidRPr="003B6F03">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5B4D7C" w:rsidRPr="003B6F03" w14:paraId="057AAA89" w14:textId="77777777">
        <w:trPr>
          <w:cantSplit/>
          <w:trHeight w:val="288"/>
          <w:tblHeader/>
        </w:trPr>
        <w:tc>
          <w:tcPr>
            <w:tcW w:w="5265" w:type="dxa"/>
            <w:vAlign w:val="center"/>
          </w:tcPr>
          <w:p w14:paraId="6CBFE1BD" w14:textId="77777777" w:rsidR="005B4D7C" w:rsidRPr="003B6F03" w:rsidRDefault="005B4D7C">
            <w:pPr>
              <w:pStyle w:val="TableHeader"/>
            </w:pPr>
            <w:r w:rsidRPr="003B6F03">
              <w:t>Brand Name</w:t>
            </w:r>
          </w:p>
        </w:tc>
        <w:tc>
          <w:tcPr>
            <w:tcW w:w="5595" w:type="dxa"/>
            <w:vAlign w:val="center"/>
          </w:tcPr>
          <w:p w14:paraId="18440B85" w14:textId="77777777" w:rsidR="005B4D7C" w:rsidRPr="003B6F03" w:rsidRDefault="005B4D7C">
            <w:pPr>
              <w:pStyle w:val="TableHeader"/>
            </w:pPr>
            <w:r w:rsidRPr="003B6F03">
              <w:t>Generic Name</w:t>
            </w:r>
          </w:p>
        </w:tc>
      </w:tr>
      <w:tr w:rsidR="005B4D7C" w:rsidRPr="003B6F03" w14:paraId="1AAF0CF9" w14:textId="77777777">
        <w:trPr>
          <w:cantSplit/>
        </w:trPr>
        <w:tc>
          <w:tcPr>
            <w:tcW w:w="5265" w:type="dxa"/>
          </w:tcPr>
          <w:p w14:paraId="195A3CF4" w14:textId="2CF1E57D" w:rsidR="005B4D7C" w:rsidRPr="003B6F03" w:rsidRDefault="001138FC">
            <w:pPr>
              <w:pStyle w:val="TableDataUnpadded"/>
            </w:pPr>
            <w:r w:rsidRPr="003B6F03">
              <w:t>Afinitor</w:t>
            </w:r>
          </w:p>
        </w:tc>
        <w:tc>
          <w:tcPr>
            <w:tcW w:w="5595" w:type="dxa"/>
          </w:tcPr>
          <w:p w14:paraId="35E12E04" w14:textId="104897F4" w:rsidR="005B4D7C" w:rsidRPr="003B6F03" w:rsidRDefault="001138FC">
            <w:pPr>
              <w:pStyle w:val="TableDataUnpadded"/>
            </w:pPr>
            <w:r w:rsidRPr="003B6F03">
              <w:t>everolimus</w:t>
            </w:r>
          </w:p>
        </w:tc>
      </w:tr>
      <w:tr w:rsidR="001138FC" w:rsidRPr="003B6F03" w14:paraId="285848EB" w14:textId="77777777">
        <w:trPr>
          <w:cantSplit/>
        </w:trPr>
        <w:tc>
          <w:tcPr>
            <w:tcW w:w="5265" w:type="dxa"/>
          </w:tcPr>
          <w:p w14:paraId="293C507A" w14:textId="1D53B056" w:rsidR="001138FC" w:rsidRPr="003B6F03" w:rsidRDefault="001138FC">
            <w:pPr>
              <w:pStyle w:val="TableDataUnpadded"/>
            </w:pPr>
            <w:r w:rsidRPr="003B6F03">
              <w:t>Afinitor Disperz</w:t>
            </w:r>
          </w:p>
        </w:tc>
        <w:tc>
          <w:tcPr>
            <w:tcW w:w="5595" w:type="dxa"/>
          </w:tcPr>
          <w:p w14:paraId="09E81AC9" w14:textId="6400054D" w:rsidR="001138FC" w:rsidRPr="003B6F03" w:rsidRDefault="001138FC">
            <w:pPr>
              <w:pStyle w:val="TableDataUnpadded"/>
            </w:pPr>
            <w:r w:rsidRPr="003B6F03">
              <w:t>everolimus</w:t>
            </w:r>
          </w:p>
        </w:tc>
      </w:tr>
      <w:tr w:rsidR="0073583D" w:rsidRPr="003B6F03" w14:paraId="0AAD4CB2" w14:textId="77777777">
        <w:trPr>
          <w:cantSplit/>
        </w:trPr>
        <w:tc>
          <w:tcPr>
            <w:tcW w:w="5265" w:type="dxa"/>
          </w:tcPr>
          <w:p w14:paraId="7680887C" w14:textId="06C3834A" w:rsidR="0073583D" w:rsidRPr="003B6F03" w:rsidRDefault="0073583D">
            <w:pPr>
              <w:pStyle w:val="TableDataUnpadded"/>
            </w:pPr>
            <w:proofErr w:type="spellStart"/>
            <w:r>
              <w:t>Torpenz</w:t>
            </w:r>
            <w:proofErr w:type="spellEnd"/>
          </w:p>
        </w:tc>
        <w:tc>
          <w:tcPr>
            <w:tcW w:w="5595" w:type="dxa"/>
          </w:tcPr>
          <w:p w14:paraId="3C00EDBD" w14:textId="5037DF06" w:rsidR="0073583D" w:rsidRPr="003B6F03" w:rsidRDefault="0073583D">
            <w:pPr>
              <w:pStyle w:val="TableDataUnpadded"/>
            </w:pPr>
            <w:r>
              <w:t>everolimus</w:t>
            </w:r>
          </w:p>
        </w:tc>
      </w:tr>
    </w:tbl>
    <w:p w14:paraId="14CE6108" w14:textId="4949FAC4" w:rsidR="00FC1AAD" w:rsidRPr="003B6F03" w:rsidRDefault="00ED052F" w:rsidP="00AA2A94">
      <w:pPr>
        <w:pStyle w:val="Heading2"/>
        <w:tabs>
          <w:tab w:val="left" w:pos="9540"/>
        </w:tabs>
      </w:pPr>
      <w:r w:rsidRPr="003B6F03">
        <w:t>Indications</w:t>
      </w:r>
    </w:p>
    <w:p w14:paraId="6C6897D4" w14:textId="7B319F4F" w:rsidR="001138FC" w:rsidRPr="003B6F03" w:rsidRDefault="001138FC" w:rsidP="001138FC">
      <w:pPr>
        <w:pStyle w:val="BodyText"/>
      </w:pPr>
      <w:r w:rsidRPr="003B6F03">
        <w:t>The indications below including FDA-approved indications and compendial uses are considered a covered benefit provided that all the approval criteria are met and the member has no exclusions to the prescribed therapy.</w:t>
      </w:r>
    </w:p>
    <w:p w14:paraId="134B5687" w14:textId="05178733" w:rsidR="00ED052F" w:rsidRPr="003B6F03" w:rsidRDefault="00ED052F" w:rsidP="00ED052F">
      <w:pPr>
        <w:pStyle w:val="Heading3"/>
        <w:keepNext w:val="0"/>
      </w:pPr>
      <w:r w:rsidRPr="003B6F03">
        <w:t>FDA-</w:t>
      </w:r>
      <w:r w:rsidR="005A602F">
        <w:t>a</w:t>
      </w:r>
      <w:r w:rsidR="005A602F" w:rsidRPr="003B6F03">
        <w:t xml:space="preserve">pproved </w:t>
      </w:r>
      <w:r w:rsidRPr="003B6F03">
        <w:t>Indications</w:t>
      </w:r>
      <w:r w:rsidR="001138FC" w:rsidRPr="003B6F03">
        <w:rPr>
          <w:vertAlign w:val="superscript"/>
        </w:rPr>
        <w:t>1-</w:t>
      </w:r>
      <w:r w:rsidR="00353DB2">
        <w:rPr>
          <w:vertAlign w:val="superscript"/>
        </w:rPr>
        <w:t>4</w:t>
      </w:r>
    </w:p>
    <w:p w14:paraId="4072A720" w14:textId="62CE153F" w:rsidR="001138FC" w:rsidRPr="003B6F03" w:rsidRDefault="001138FC" w:rsidP="001138FC">
      <w:pPr>
        <w:pStyle w:val="Heading4"/>
      </w:pPr>
      <w:r w:rsidRPr="003B6F03">
        <w:t>Hormone Receptor-Positive, HER2-Negative Breast Cancer</w:t>
      </w:r>
    </w:p>
    <w:p w14:paraId="098251F7" w14:textId="74D2F633" w:rsidR="001138FC" w:rsidRPr="003B6F03" w:rsidRDefault="001138FC" w:rsidP="001138FC">
      <w:pPr>
        <w:pStyle w:val="BodyText"/>
      </w:pPr>
      <w:proofErr w:type="spellStart"/>
      <w:r w:rsidRPr="003B6F03">
        <w:t>Afinitor</w:t>
      </w:r>
      <w:proofErr w:type="spellEnd"/>
      <w:r w:rsidR="00353DB2">
        <w:t xml:space="preserve"> and </w:t>
      </w:r>
      <w:proofErr w:type="spellStart"/>
      <w:r w:rsidR="00353DB2">
        <w:t>Torpenz</w:t>
      </w:r>
      <w:proofErr w:type="spellEnd"/>
      <w:r w:rsidR="00BB4F28">
        <w:t xml:space="preserve"> are</w:t>
      </w:r>
      <w:r w:rsidRPr="003B6F03">
        <w:t xml:space="preserve"> indicated for the treatment of postmenopausal women with advanced hormone receptor (HR)-positive, human epidermal growth factor receptor 2 (HER2)-negative breast cancer in combination with exemestane, after failure of treatment with letrozole or anastrozole.</w:t>
      </w:r>
    </w:p>
    <w:p w14:paraId="678F3450" w14:textId="29459915" w:rsidR="001138FC" w:rsidRPr="003B6F03" w:rsidRDefault="001138FC" w:rsidP="001138FC">
      <w:pPr>
        <w:pStyle w:val="Heading4"/>
      </w:pPr>
      <w:r w:rsidRPr="003B6F03">
        <w:t>Neuroendocrine Tumors (NET)</w:t>
      </w:r>
    </w:p>
    <w:p w14:paraId="7BD6DB1E" w14:textId="15217BE5" w:rsidR="001138FC" w:rsidRPr="003B6F03" w:rsidRDefault="001138FC" w:rsidP="001138FC">
      <w:pPr>
        <w:pStyle w:val="ListParagraph"/>
      </w:pPr>
      <w:r w:rsidRPr="003B6F03">
        <w:t>Afinitor is indicated for the treatment of adult patients with progressive neuroendocrine tumors of pancreatic origin (PNET) with unresectable, locally advanced or metastatic disease.</w:t>
      </w:r>
    </w:p>
    <w:p w14:paraId="7CA109FA" w14:textId="62806797" w:rsidR="001138FC" w:rsidRPr="003B6F03" w:rsidRDefault="001138FC" w:rsidP="005A797A">
      <w:pPr>
        <w:pStyle w:val="ListParagraph"/>
        <w:widowControl w:val="0"/>
      </w:pPr>
      <w:r w:rsidRPr="003B6F03">
        <w:t>Afinitor is indicated for the treatment of adult patients with progressive, well-differentiated, non-functional neuroendocrine tumors (NET) of gastrointestinal (GI) or lung origin with unresectable, locally advanced or metastatic disease.</w:t>
      </w:r>
    </w:p>
    <w:p w14:paraId="4908B43B" w14:textId="554FE6DB" w:rsidR="001138FC" w:rsidRPr="003B6F03" w:rsidRDefault="001138FC" w:rsidP="001138FC">
      <w:pPr>
        <w:pStyle w:val="Heading4"/>
      </w:pPr>
      <w:r w:rsidRPr="003B6F03">
        <w:lastRenderedPageBreak/>
        <w:t>Renal Cell Carcinoma (RCC)</w:t>
      </w:r>
    </w:p>
    <w:p w14:paraId="6DF71160" w14:textId="77777777" w:rsidR="001138FC" w:rsidRPr="003B6F03" w:rsidRDefault="001138FC" w:rsidP="001138FC">
      <w:pPr>
        <w:pStyle w:val="BodyText"/>
      </w:pPr>
      <w:r w:rsidRPr="003B6F03">
        <w:t xml:space="preserve">Afinitor is indicated for the treatment of adult patients with advanced renal cell carcinoma (RCC) after failure of treatment with sunitinib or sorafenib. </w:t>
      </w:r>
    </w:p>
    <w:p w14:paraId="3A6276D4" w14:textId="536AFB17" w:rsidR="001138FC" w:rsidRPr="003B6F03" w:rsidRDefault="001138FC" w:rsidP="001138FC">
      <w:pPr>
        <w:pStyle w:val="Heading4"/>
      </w:pPr>
      <w:r w:rsidRPr="003B6F03">
        <w:t>Tuberous Sclerosis Complex (TSC)-Associated Renal Angiomyolipoma</w:t>
      </w:r>
    </w:p>
    <w:p w14:paraId="6E756CAB" w14:textId="0D806A19" w:rsidR="001138FC" w:rsidRPr="003B6F03" w:rsidRDefault="001138FC" w:rsidP="001138FC">
      <w:pPr>
        <w:pStyle w:val="BodyText"/>
      </w:pPr>
      <w:proofErr w:type="spellStart"/>
      <w:r w:rsidRPr="003B6F03">
        <w:t>Afinitor</w:t>
      </w:r>
      <w:proofErr w:type="spellEnd"/>
      <w:r w:rsidR="00BB4F28">
        <w:t xml:space="preserve"> and </w:t>
      </w:r>
      <w:proofErr w:type="spellStart"/>
      <w:r w:rsidR="00BB4F28">
        <w:t>Torpenz</w:t>
      </w:r>
      <w:proofErr w:type="spellEnd"/>
      <w:r w:rsidR="00BB4F28">
        <w:t xml:space="preserve"> are</w:t>
      </w:r>
      <w:r w:rsidRPr="003B6F03">
        <w:t xml:space="preserve"> indicated for the treatment of adult patients with renal angiomyolipoma and tuberous sclerosis complex (TSC), not requiring immediate surgery.</w:t>
      </w:r>
    </w:p>
    <w:p w14:paraId="29D6CB2B" w14:textId="3FDC4729" w:rsidR="001138FC" w:rsidRPr="003B6F03" w:rsidRDefault="001138FC" w:rsidP="001138FC">
      <w:pPr>
        <w:pStyle w:val="Heading4"/>
      </w:pPr>
      <w:r w:rsidRPr="003B6F03">
        <w:t>Tuberous Sclerosis Complex (TSC)-Associated Subependymal Giant Cell Astrocytoma (SEGA)</w:t>
      </w:r>
    </w:p>
    <w:p w14:paraId="303CEB97" w14:textId="3C3745D0" w:rsidR="001138FC" w:rsidRPr="003B6F03" w:rsidRDefault="001138FC" w:rsidP="001138FC">
      <w:pPr>
        <w:pStyle w:val="BodyText"/>
      </w:pPr>
      <w:r w:rsidRPr="003B6F03">
        <w:t>Afinitor</w:t>
      </w:r>
      <w:r w:rsidR="00BB4F28">
        <w:t xml:space="preserve">, </w:t>
      </w:r>
      <w:proofErr w:type="spellStart"/>
      <w:r w:rsidRPr="003B6F03">
        <w:t>Afinitor</w:t>
      </w:r>
      <w:proofErr w:type="spellEnd"/>
      <w:r w:rsidRPr="003B6F03">
        <w:t xml:space="preserve"> </w:t>
      </w:r>
      <w:proofErr w:type="spellStart"/>
      <w:r w:rsidRPr="003B6F03">
        <w:t>Disperz</w:t>
      </w:r>
      <w:proofErr w:type="spellEnd"/>
      <w:r w:rsidR="00BB4F28">
        <w:t xml:space="preserve">, and </w:t>
      </w:r>
      <w:proofErr w:type="spellStart"/>
      <w:r w:rsidR="00BB4F28">
        <w:t>Torpenz</w:t>
      </w:r>
      <w:proofErr w:type="spellEnd"/>
      <w:r w:rsidRPr="003B6F03">
        <w:t xml:space="preserve"> are indicated in adult and pediatric patients aged 1 year and older with tuberous sclerosis complex (TSC) for the treatment of subependymal giant cell astrocytoma (SEGA) that requires therapeutic intervention but cannot be curatively resected.</w:t>
      </w:r>
    </w:p>
    <w:p w14:paraId="2C26D7D3" w14:textId="6331B683" w:rsidR="001138FC" w:rsidRPr="003B6F03" w:rsidRDefault="001138FC" w:rsidP="001138FC">
      <w:pPr>
        <w:pStyle w:val="Heading4"/>
      </w:pPr>
      <w:r w:rsidRPr="003B6F03">
        <w:t>Tuberous Sclerosis Complex (TSC)-Associated Partial-Onset Seizures</w:t>
      </w:r>
    </w:p>
    <w:p w14:paraId="4C434745" w14:textId="69327691" w:rsidR="00ED052F" w:rsidRPr="003B6F03" w:rsidRDefault="001138FC" w:rsidP="001138FC">
      <w:pPr>
        <w:pStyle w:val="BodyText"/>
      </w:pPr>
      <w:r w:rsidRPr="003B6F03">
        <w:t>Afinitor Disperz is indicated for the adjunctive treatment of adult and pediatric patients aged 2 years and older with TSC-associated partial-onset seizures.</w:t>
      </w:r>
    </w:p>
    <w:p w14:paraId="0B5EC236" w14:textId="2FEA5A08" w:rsidR="0044763A" w:rsidRPr="003B6F03" w:rsidRDefault="009F2EF1" w:rsidP="0044763A">
      <w:pPr>
        <w:pStyle w:val="Heading3"/>
      </w:pPr>
      <w:r w:rsidRPr="003B6F03">
        <w:t>Compendial Uses</w:t>
      </w:r>
      <w:r w:rsidR="00476AAE">
        <w:rPr>
          <w:vertAlign w:val="superscript"/>
        </w:rPr>
        <w:t>5</w:t>
      </w:r>
      <w:r w:rsidR="001138FC" w:rsidRPr="003B6F03">
        <w:rPr>
          <w:vertAlign w:val="superscript"/>
        </w:rPr>
        <w:t>-1</w:t>
      </w:r>
      <w:r w:rsidR="00476AAE">
        <w:rPr>
          <w:vertAlign w:val="superscript"/>
        </w:rPr>
        <w:t>3</w:t>
      </w:r>
    </w:p>
    <w:p w14:paraId="24837314" w14:textId="77777777" w:rsidR="001138FC" w:rsidRPr="003B6F03" w:rsidRDefault="001138FC" w:rsidP="00E60F51">
      <w:pPr>
        <w:pStyle w:val="ListParagraph"/>
        <w:numPr>
          <w:ilvl w:val="0"/>
          <w:numId w:val="34"/>
        </w:numPr>
      </w:pPr>
      <w:r w:rsidRPr="003B6F03">
        <w:t>Relapsed or stage IV renal cell carcinoma</w:t>
      </w:r>
    </w:p>
    <w:p w14:paraId="61E27EC3" w14:textId="77777777" w:rsidR="001138FC" w:rsidRPr="003B6F03" w:rsidRDefault="001138FC" w:rsidP="00E60F51">
      <w:pPr>
        <w:pStyle w:val="ListParagraph"/>
        <w:numPr>
          <w:ilvl w:val="0"/>
          <w:numId w:val="34"/>
        </w:numPr>
      </w:pPr>
      <w:r w:rsidRPr="003B6F03">
        <w:t xml:space="preserve">Soft tissue sarcoma subtypes: </w:t>
      </w:r>
    </w:p>
    <w:p w14:paraId="4925D708" w14:textId="77777777" w:rsidR="001138FC" w:rsidRPr="003B6F03" w:rsidRDefault="001138FC" w:rsidP="00E60F51">
      <w:pPr>
        <w:pStyle w:val="ListParagraph"/>
        <w:numPr>
          <w:ilvl w:val="1"/>
          <w:numId w:val="34"/>
        </w:numPr>
      </w:pPr>
      <w:r w:rsidRPr="003B6F03">
        <w:t>Perivascular epithelioid cell tumors (</w:t>
      </w:r>
      <w:proofErr w:type="spellStart"/>
      <w:r w:rsidRPr="003B6F03">
        <w:t>PEComa</w:t>
      </w:r>
      <w:proofErr w:type="spellEnd"/>
      <w:r w:rsidRPr="003B6F03">
        <w:t>)</w:t>
      </w:r>
    </w:p>
    <w:p w14:paraId="4BB71FBA" w14:textId="77777777" w:rsidR="001138FC" w:rsidRPr="003B6F03" w:rsidRDefault="001138FC" w:rsidP="00E60F51">
      <w:pPr>
        <w:pStyle w:val="ListParagraph"/>
        <w:numPr>
          <w:ilvl w:val="1"/>
          <w:numId w:val="34"/>
        </w:numPr>
      </w:pPr>
      <w:r w:rsidRPr="003B6F03">
        <w:t>Angiomyolipoma</w:t>
      </w:r>
    </w:p>
    <w:p w14:paraId="4B4909E5" w14:textId="77777777" w:rsidR="001138FC" w:rsidRPr="003B6F03" w:rsidRDefault="001138FC" w:rsidP="00E60F51">
      <w:pPr>
        <w:pStyle w:val="ListParagraph"/>
        <w:numPr>
          <w:ilvl w:val="1"/>
          <w:numId w:val="34"/>
        </w:numPr>
      </w:pPr>
      <w:r w:rsidRPr="003B6F03">
        <w:t>Lymphangioleiomyomatosis</w:t>
      </w:r>
    </w:p>
    <w:p w14:paraId="4C0D828A" w14:textId="77777777" w:rsidR="001138FC" w:rsidRPr="003B6F03" w:rsidRDefault="001138FC" w:rsidP="00E60F51">
      <w:pPr>
        <w:pStyle w:val="ListParagraph"/>
        <w:numPr>
          <w:ilvl w:val="0"/>
          <w:numId w:val="34"/>
        </w:numPr>
      </w:pPr>
      <w:r w:rsidRPr="003B6F03">
        <w:t>Gastrointestinal stromal tumors (GIST)</w:t>
      </w:r>
    </w:p>
    <w:p w14:paraId="3D55B4A3" w14:textId="77777777" w:rsidR="001138FC" w:rsidRPr="003B6F03" w:rsidRDefault="001138FC" w:rsidP="00E60F51">
      <w:pPr>
        <w:pStyle w:val="ListParagraph"/>
        <w:numPr>
          <w:ilvl w:val="0"/>
          <w:numId w:val="34"/>
        </w:numPr>
      </w:pPr>
      <w:r w:rsidRPr="003B6F03">
        <w:t>Neuroendocrine tumors:</w:t>
      </w:r>
    </w:p>
    <w:p w14:paraId="1BFF9627" w14:textId="77777777" w:rsidR="001138FC" w:rsidRPr="003B6F03" w:rsidRDefault="001138FC" w:rsidP="00E60F51">
      <w:pPr>
        <w:pStyle w:val="ListParagraph"/>
        <w:numPr>
          <w:ilvl w:val="1"/>
          <w:numId w:val="35"/>
        </w:numPr>
      </w:pPr>
      <w:r w:rsidRPr="003B6F03">
        <w:t>Neuroendocrine tumors of the gastrointestinal tract, lung and thymus (carcinoid tumors)</w:t>
      </w:r>
    </w:p>
    <w:p w14:paraId="37300DD7" w14:textId="77777777" w:rsidR="001138FC" w:rsidRPr="003B6F03" w:rsidRDefault="001138FC" w:rsidP="00E60F51">
      <w:pPr>
        <w:pStyle w:val="ListParagraph"/>
        <w:numPr>
          <w:ilvl w:val="1"/>
          <w:numId w:val="35"/>
        </w:numPr>
      </w:pPr>
      <w:r w:rsidRPr="003B6F03">
        <w:t>Neuroendocrine tumors of the pancreas</w:t>
      </w:r>
    </w:p>
    <w:p w14:paraId="498FC95F" w14:textId="77777777" w:rsidR="001138FC" w:rsidRPr="003B6F03" w:rsidRDefault="001138FC" w:rsidP="00E60F51">
      <w:pPr>
        <w:pStyle w:val="ListParagraph"/>
        <w:numPr>
          <w:ilvl w:val="1"/>
          <w:numId w:val="35"/>
        </w:numPr>
      </w:pPr>
      <w:r w:rsidRPr="003B6F03">
        <w:t xml:space="preserve">Well differentiated Grade 3 neuroendocrine tumors </w:t>
      </w:r>
    </w:p>
    <w:p w14:paraId="2C2D1A4E" w14:textId="77777777" w:rsidR="001138FC" w:rsidRPr="003B6F03" w:rsidRDefault="001138FC" w:rsidP="00E60F51">
      <w:pPr>
        <w:pStyle w:val="ListParagraph"/>
        <w:numPr>
          <w:ilvl w:val="0"/>
          <w:numId w:val="34"/>
        </w:numPr>
      </w:pPr>
      <w:r w:rsidRPr="003B6F03">
        <w:t>Thymomas and thymic carcinomas</w:t>
      </w:r>
    </w:p>
    <w:p w14:paraId="5956DF2D" w14:textId="77777777" w:rsidR="001138FC" w:rsidRPr="003B6F03" w:rsidRDefault="001138FC" w:rsidP="00E60F51">
      <w:pPr>
        <w:pStyle w:val="ListParagraph"/>
        <w:numPr>
          <w:ilvl w:val="0"/>
          <w:numId w:val="34"/>
        </w:numPr>
      </w:pPr>
      <w:r w:rsidRPr="003B6F03">
        <w:t>Classic Hodgkin lymphoma</w:t>
      </w:r>
    </w:p>
    <w:p w14:paraId="74BCAE11" w14:textId="77777777" w:rsidR="001138FC" w:rsidRPr="003B6F03" w:rsidRDefault="001138FC" w:rsidP="00E60F51">
      <w:pPr>
        <w:pStyle w:val="ListParagraph"/>
        <w:numPr>
          <w:ilvl w:val="0"/>
          <w:numId w:val="34"/>
        </w:numPr>
      </w:pPr>
      <w:r w:rsidRPr="003B6F03">
        <w:t xml:space="preserve">Central nervous system cancers: </w:t>
      </w:r>
    </w:p>
    <w:p w14:paraId="056EB186" w14:textId="77777777" w:rsidR="001138FC" w:rsidRPr="003B6F03" w:rsidRDefault="001138FC" w:rsidP="00E60F51">
      <w:pPr>
        <w:pStyle w:val="ListParagraph"/>
        <w:numPr>
          <w:ilvl w:val="1"/>
          <w:numId w:val="36"/>
        </w:numPr>
      </w:pPr>
      <w:r w:rsidRPr="003B6F03">
        <w:t>Meningiomas</w:t>
      </w:r>
    </w:p>
    <w:p w14:paraId="029D122A" w14:textId="77777777" w:rsidR="001138FC" w:rsidRPr="003B6F03" w:rsidRDefault="001138FC" w:rsidP="00E60F51">
      <w:pPr>
        <w:pStyle w:val="ListParagraph"/>
        <w:numPr>
          <w:ilvl w:val="1"/>
          <w:numId w:val="36"/>
        </w:numPr>
      </w:pPr>
      <w:r w:rsidRPr="003B6F03">
        <w:t>Glioma</w:t>
      </w:r>
    </w:p>
    <w:p w14:paraId="5ECE7660" w14:textId="77777777" w:rsidR="001138FC" w:rsidRPr="003B6F03" w:rsidRDefault="001138FC" w:rsidP="00E60F51">
      <w:pPr>
        <w:pStyle w:val="ListParagraph"/>
        <w:numPr>
          <w:ilvl w:val="1"/>
          <w:numId w:val="36"/>
        </w:numPr>
      </w:pPr>
      <w:r w:rsidRPr="003B6F03">
        <w:t>Subependymal giant cell astrocytoma (SEGA)</w:t>
      </w:r>
    </w:p>
    <w:p w14:paraId="31A025A8" w14:textId="77777777" w:rsidR="001138FC" w:rsidRPr="003B6F03" w:rsidRDefault="001138FC" w:rsidP="00E60F51">
      <w:pPr>
        <w:pStyle w:val="ListParagraph"/>
        <w:numPr>
          <w:ilvl w:val="0"/>
          <w:numId w:val="34"/>
        </w:numPr>
      </w:pPr>
      <w:r w:rsidRPr="003B6F03">
        <w:t>Thyroid carcinoma (papillary carcinoma, oncocytic/Hürthle cell carcinoma, and follicular carcinoma)</w:t>
      </w:r>
    </w:p>
    <w:p w14:paraId="67D17446" w14:textId="77777777" w:rsidR="001138FC" w:rsidRPr="003B6F03" w:rsidRDefault="001138FC" w:rsidP="00E60F51">
      <w:pPr>
        <w:pStyle w:val="ListParagraph"/>
        <w:numPr>
          <w:ilvl w:val="0"/>
          <w:numId w:val="34"/>
        </w:numPr>
      </w:pPr>
      <w:r w:rsidRPr="003B6F03">
        <w:t xml:space="preserve">Waldenström’s macroglobulinemia/lymphoplasmacytic lymphoma </w:t>
      </w:r>
    </w:p>
    <w:p w14:paraId="69667DE4" w14:textId="77777777" w:rsidR="001138FC" w:rsidRPr="00686DEF" w:rsidRDefault="001138FC" w:rsidP="00E60F51">
      <w:pPr>
        <w:pStyle w:val="ListParagraph"/>
        <w:numPr>
          <w:ilvl w:val="0"/>
          <w:numId w:val="34"/>
        </w:numPr>
        <w:rPr>
          <w:lang w:val="it-IT"/>
        </w:rPr>
      </w:pPr>
      <w:r w:rsidRPr="00686DEF">
        <w:rPr>
          <w:lang w:val="it-IT"/>
        </w:rPr>
        <w:t xml:space="preserve">Uterine Neoplasms (uterine sarcoma, endometrial carcinoma) </w:t>
      </w:r>
    </w:p>
    <w:p w14:paraId="1BF87337" w14:textId="77777777" w:rsidR="001138FC" w:rsidRPr="003B6F03" w:rsidRDefault="001138FC" w:rsidP="00E60F51">
      <w:pPr>
        <w:pStyle w:val="ListParagraph"/>
        <w:numPr>
          <w:ilvl w:val="0"/>
          <w:numId w:val="34"/>
        </w:numPr>
      </w:pPr>
      <w:r w:rsidRPr="003B6F03">
        <w:t xml:space="preserve">HR+/HER2- breast cancer, recurrent unresectable or stage IV (M1) </w:t>
      </w:r>
    </w:p>
    <w:p w14:paraId="2568C13A" w14:textId="77777777" w:rsidR="001138FC" w:rsidRPr="003B6F03" w:rsidRDefault="001138FC" w:rsidP="00E60F51">
      <w:pPr>
        <w:pStyle w:val="ListParagraph"/>
        <w:numPr>
          <w:ilvl w:val="0"/>
          <w:numId w:val="34"/>
        </w:numPr>
      </w:pPr>
      <w:r w:rsidRPr="003B6F03">
        <w:t>Tuberous sclerosis complex</w:t>
      </w:r>
    </w:p>
    <w:p w14:paraId="3EC9830C" w14:textId="77777777" w:rsidR="001138FC" w:rsidRPr="003B6F03" w:rsidRDefault="001138FC" w:rsidP="00E60F51">
      <w:pPr>
        <w:pStyle w:val="ListParagraph"/>
        <w:numPr>
          <w:ilvl w:val="0"/>
          <w:numId w:val="34"/>
        </w:numPr>
      </w:pPr>
      <w:r w:rsidRPr="003B6F03">
        <w:lastRenderedPageBreak/>
        <w:t>Histiocytic Neoplasms:</w:t>
      </w:r>
    </w:p>
    <w:p w14:paraId="53B526F2" w14:textId="77777777" w:rsidR="001138FC" w:rsidRPr="003B6F03" w:rsidRDefault="001138FC" w:rsidP="00E60F51">
      <w:pPr>
        <w:pStyle w:val="ListParagraph"/>
        <w:numPr>
          <w:ilvl w:val="1"/>
          <w:numId w:val="37"/>
        </w:numPr>
      </w:pPr>
      <w:r w:rsidRPr="003B6F03">
        <w:t>Erdheim-Chester Disease (ECD)</w:t>
      </w:r>
    </w:p>
    <w:p w14:paraId="67A3E59B" w14:textId="77777777" w:rsidR="001138FC" w:rsidRPr="003B6F03" w:rsidRDefault="001138FC" w:rsidP="00E60F51">
      <w:pPr>
        <w:pStyle w:val="ListParagraph"/>
        <w:numPr>
          <w:ilvl w:val="1"/>
          <w:numId w:val="37"/>
        </w:numPr>
      </w:pPr>
      <w:r w:rsidRPr="003B6F03">
        <w:t>Langerhans Cell Histiocytosis (LCH)</w:t>
      </w:r>
    </w:p>
    <w:p w14:paraId="12073961" w14:textId="34488570" w:rsidR="001138FC" w:rsidRPr="003B6F03" w:rsidRDefault="001138FC" w:rsidP="00E60F51">
      <w:pPr>
        <w:pStyle w:val="ListParagraph"/>
        <w:numPr>
          <w:ilvl w:val="1"/>
          <w:numId w:val="37"/>
        </w:numPr>
        <w:spacing w:after="120"/>
      </w:pPr>
      <w:r w:rsidRPr="003B6F03">
        <w:t>Rosai-Dorfman Disease</w:t>
      </w:r>
    </w:p>
    <w:p w14:paraId="0D5A9DD5" w14:textId="3A30EDBE" w:rsidR="009A5649" w:rsidRPr="003B6F03" w:rsidRDefault="001138FC" w:rsidP="001138FC">
      <w:pPr>
        <w:pStyle w:val="BodyText"/>
        <w:rPr>
          <w:rFonts w:eastAsia="Arial"/>
        </w:rPr>
      </w:pPr>
      <w:r w:rsidRPr="003B6F03">
        <w:rPr>
          <w:color w:val="222222"/>
        </w:rPr>
        <w:t>All other indications are considered experimental/investigational and not medically necessary.</w:t>
      </w:r>
    </w:p>
    <w:p w14:paraId="36381B6D" w14:textId="5EC32F82" w:rsidR="000D2496" w:rsidRPr="003B6F03" w:rsidRDefault="000D2496" w:rsidP="000D2496">
      <w:pPr>
        <w:pStyle w:val="Heading2"/>
      </w:pPr>
      <w:r w:rsidRPr="003B6F03">
        <w:t>Documentation</w:t>
      </w:r>
    </w:p>
    <w:p w14:paraId="77BD394D" w14:textId="77777777" w:rsidR="001138FC" w:rsidRPr="003B6F03" w:rsidRDefault="001138FC" w:rsidP="001138FC">
      <w:pPr>
        <w:pStyle w:val="BodyText"/>
      </w:pPr>
      <w:r w:rsidRPr="003B6F03">
        <w:t xml:space="preserve">Submission of the following information is necessary to initiate the prior authorization review: </w:t>
      </w:r>
    </w:p>
    <w:p w14:paraId="314C428C" w14:textId="3C21BCBB" w:rsidR="001138FC" w:rsidRPr="003B6F03" w:rsidRDefault="001138FC" w:rsidP="00485A2B">
      <w:pPr>
        <w:pStyle w:val="ListParagraph"/>
        <w:numPr>
          <w:ilvl w:val="0"/>
          <w:numId w:val="28"/>
        </w:numPr>
      </w:pPr>
      <w:r w:rsidRPr="003B6F03">
        <w:t>Documentation of the presence of phosphatidylinositol-4,5-bisphosphate 3-kinase catalytic subunit alpha (PIK3CA) mutation (where applicable)</w:t>
      </w:r>
    </w:p>
    <w:p w14:paraId="2180ED6E" w14:textId="0CF09204" w:rsidR="000D2496" w:rsidRPr="003B6F03" w:rsidRDefault="001138FC" w:rsidP="00485A2B">
      <w:pPr>
        <w:pStyle w:val="ListParagraph"/>
        <w:numPr>
          <w:ilvl w:val="0"/>
          <w:numId w:val="28"/>
        </w:numPr>
      </w:pPr>
      <w:r w:rsidRPr="003B6F03">
        <w:t>Hormone receptor (HR) and human epidermal growth factor receptor 2 (HER2) status (where applicable)</w:t>
      </w:r>
    </w:p>
    <w:p w14:paraId="50A38FBA" w14:textId="2892960F" w:rsidR="00FE0C63" w:rsidRPr="003B6F03" w:rsidRDefault="00685107" w:rsidP="00E050E1">
      <w:pPr>
        <w:pStyle w:val="Heading2"/>
      </w:pPr>
      <w:r w:rsidRPr="003B6F03">
        <w:t>Coverage Criteria</w:t>
      </w:r>
    </w:p>
    <w:p w14:paraId="6DDA3B62" w14:textId="4BC1169D" w:rsidR="00271B43" w:rsidRPr="003B6F03" w:rsidRDefault="00271B43" w:rsidP="00271B43">
      <w:pPr>
        <w:pStyle w:val="Heading3"/>
      </w:pPr>
      <w:r w:rsidRPr="003B6F03">
        <w:t>Breast Cancer</w:t>
      </w:r>
      <w:r w:rsidRPr="003B6F03">
        <w:rPr>
          <w:vertAlign w:val="superscript"/>
        </w:rPr>
        <w:t>1-</w:t>
      </w:r>
      <w:r w:rsidR="00476AAE">
        <w:rPr>
          <w:vertAlign w:val="superscript"/>
        </w:rPr>
        <w:t>7</w:t>
      </w:r>
    </w:p>
    <w:p w14:paraId="738BBF40" w14:textId="245F0C1C" w:rsidR="00271B43" w:rsidRPr="003B6F03" w:rsidRDefault="00271B43" w:rsidP="00271B43">
      <w:pPr>
        <w:pStyle w:val="BodyText"/>
      </w:pPr>
      <w:r w:rsidRPr="003B6F03">
        <w:t>Authorization of 12 months may be granted for subsequent treatment of hormone receptor (HR)-positive, human epidermal growth factor receptor 2 (HER2)-negative recurrent unresectable, advanced, or metastatic breast cancer when prescribed in combination with exemestane, fulvestrant, or tamoxifen.</w:t>
      </w:r>
    </w:p>
    <w:p w14:paraId="5334DC8E" w14:textId="50A2BBDB" w:rsidR="00271B43" w:rsidRPr="003B6F03" w:rsidRDefault="00271B43" w:rsidP="00271B43">
      <w:pPr>
        <w:pStyle w:val="Heading3"/>
      </w:pPr>
      <w:r w:rsidRPr="003B6F03">
        <w:t>Renal Cell Carcinoma</w:t>
      </w:r>
      <w:r w:rsidRPr="003B6F03">
        <w:rPr>
          <w:vertAlign w:val="superscript"/>
        </w:rPr>
        <w:t>1-</w:t>
      </w:r>
      <w:r w:rsidR="00476AAE">
        <w:rPr>
          <w:vertAlign w:val="superscript"/>
        </w:rPr>
        <w:t>5</w:t>
      </w:r>
    </w:p>
    <w:p w14:paraId="2DFE196A" w14:textId="77777777" w:rsidR="00271B43" w:rsidRPr="003B6F03" w:rsidRDefault="00271B43" w:rsidP="00271B43">
      <w:pPr>
        <w:pStyle w:val="BodyText"/>
      </w:pPr>
      <w:r w:rsidRPr="003B6F03">
        <w:t xml:space="preserve">Authorization of 12 months may be granted for treatment of relapsed, advanced, or stage IV renal cell carcinoma when any of the following criteria are met: </w:t>
      </w:r>
    </w:p>
    <w:p w14:paraId="0821CB95" w14:textId="77777777" w:rsidR="00271B43" w:rsidRPr="003B6F03" w:rsidRDefault="00271B43" w:rsidP="00485A2B">
      <w:pPr>
        <w:pStyle w:val="ListParagraph"/>
        <w:numPr>
          <w:ilvl w:val="0"/>
          <w:numId w:val="29"/>
        </w:numPr>
      </w:pPr>
      <w:r w:rsidRPr="003B6F03">
        <w:t>The requested medication is given as a single agent or in combination with lenvatinib as subsequent therapy for clear cell histology; OR</w:t>
      </w:r>
    </w:p>
    <w:p w14:paraId="7329C72B" w14:textId="2026A992" w:rsidR="00271B43" w:rsidRPr="003B6F03" w:rsidRDefault="00271B43" w:rsidP="00485A2B">
      <w:pPr>
        <w:pStyle w:val="ListParagraph"/>
        <w:numPr>
          <w:ilvl w:val="0"/>
          <w:numId w:val="29"/>
        </w:numPr>
      </w:pPr>
      <w:r w:rsidRPr="003B6F03">
        <w:t>The requested medication is given as single-agent or in combination with lenvatinib or bevacizumab for non-clear cell histology.</w:t>
      </w:r>
    </w:p>
    <w:p w14:paraId="24CABABA" w14:textId="3B170AA8" w:rsidR="00271B43" w:rsidRPr="003B6F03" w:rsidRDefault="00271B43" w:rsidP="00271B43">
      <w:pPr>
        <w:pStyle w:val="Heading3"/>
      </w:pPr>
      <w:r w:rsidRPr="003B6F03">
        <w:t>Neuroendocrine Tumors</w:t>
      </w:r>
      <w:r w:rsidRPr="003B6F03">
        <w:rPr>
          <w:vertAlign w:val="superscript"/>
        </w:rPr>
        <w:t>1-</w:t>
      </w:r>
      <w:r w:rsidR="00476AAE">
        <w:rPr>
          <w:vertAlign w:val="superscript"/>
        </w:rPr>
        <w:t>5</w:t>
      </w:r>
    </w:p>
    <w:p w14:paraId="106A4006" w14:textId="77777777" w:rsidR="00271B43" w:rsidRPr="003B6F03" w:rsidRDefault="00271B43" w:rsidP="00271B43">
      <w:pPr>
        <w:pStyle w:val="BodyText"/>
      </w:pPr>
      <w:r w:rsidRPr="003B6F03">
        <w:t>Authorization of 12 months may be granted for the treatment of the following neuroendocrine tumors:</w:t>
      </w:r>
    </w:p>
    <w:p w14:paraId="5726E079" w14:textId="77777777" w:rsidR="00271B43" w:rsidRPr="003B6F03" w:rsidRDefault="00271B43" w:rsidP="00485A2B">
      <w:pPr>
        <w:pStyle w:val="ListParagraph"/>
        <w:numPr>
          <w:ilvl w:val="0"/>
          <w:numId w:val="30"/>
        </w:numPr>
      </w:pPr>
      <w:r w:rsidRPr="003B6F03">
        <w:t>Neuroendocrine tumors of the gastrointestinal tract, lung, and thymus (carcinoid tumors)</w:t>
      </w:r>
    </w:p>
    <w:p w14:paraId="097E67F0" w14:textId="77777777" w:rsidR="00271B43" w:rsidRPr="003B6F03" w:rsidRDefault="00271B43" w:rsidP="00485A2B">
      <w:pPr>
        <w:pStyle w:val="ListParagraph"/>
        <w:numPr>
          <w:ilvl w:val="0"/>
          <w:numId w:val="30"/>
        </w:numPr>
      </w:pPr>
      <w:r w:rsidRPr="003B6F03">
        <w:t>Neuroendocrine tumors of the pancreas</w:t>
      </w:r>
    </w:p>
    <w:p w14:paraId="55933E55" w14:textId="640F3862" w:rsidR="00271B43" w:rsidRPr="003B6F03" w:rsidRDefault="00271B43" w:rsidP="00485A2B">
      <w:pPr>
        <w:pStyle w:val="ListParagraph"/>
        <w:numPr>
          <w:ilvl w:val="0"/>
          <w:numId w:val="30"/>
        </w:numPr>
      </w:pPr>
      <w:r w:rsidRPr="003B6F03">
        <w:t>Well differentiated Grade 3 neuroendocrine tumors</w:t>
      </w:r>
    </w:p>
    <w:p w14:paraId="0CCB2770" w14:textId="00AD8C37" w:rsidR="00271B43" w:rsidRPr="003B6F03" w:rsidRDefault="00271B43" w:rsidP="00271B43">
      <w:pPr>
        <w:pStyle w:val="Heading3"/>
      </w:pPr>
      <w:r w:rsidRPr="003B6F03">
        <w:lastRenderedPageBreak/>
        <w:t>Tuberous Sclerosis Complex (TSC)</w:t>
      </w:r>
      <w:r w:rsidRPr="003B6F03">
        <w:rPr>
          <w:vertAlign w:val="superscript"/>
        </w:rPr>
        <w:t>1-</w:t>
      </w:r>
      <w:r w:rsidR="00C318A2">
        <w:rPr>
          <w:vertAlign w:val="superscript"/>
        </w:rPr>
        <w:t>4</w:t>
      </w:r>
      <w:r w:rsidRPr="003B6F03">
        <w:rPr>
          <w:vertAlign w:val="superscript"/>
        </w:rPr>
        <w:t>,</w:t>
      </w:r>
      <w:r w:rsidR="00C318A2">
        <w:rPr>
          <w:vertAlign w:val="superscript"/>
        </w:rPr>
        <w:t>8</w:t>
      </w:r>
      <w:r w:rsidRPr="003B6F03">
        <w:rPr>
          <w:vertAlign w:val="superscript"/>
        </w:rPr>
        <w:t>,</w:t>
      </w:r>
      <w:r w:rsidR="00C318A2">
        <w:rPr>
          <w:vertAlign w:val="superscript"/>
        </w:rPr>
        <w:t>10</w:t>
      </w:r>
    </w:p>
    <w:p w14:paraId="741F17B4" w14:textId="50A24ED8" w:rsidR="00271B43" w:rsidRPr="003B6F03" w:rsidRDefault="00271B43" w:rsidP="00271B43">
      <w:pPr>
        <w:pStyle w:val="BodyText"/>
      </w:pPr>
      <w:r w:rsidRPr="003B6F03">
        <w:t>Authorization of 12 months may be granted for treatment of TSC.</w:t>
      </w:r>
    </w:p>
    <w:p w14:paraId="67DD5830" w14:textId="2C0A5D10" w:rsidR="00271B43" w:rsidRPr="003B6F03" w:rsidRDefault="00271B43" w:rsidP="00271B43">
      <w:pPr>
        <w:pStyle w:val="Heading3"/>
      </w:pPr>
      <w:r w:rsidRPr="003B6F03">
        <w:t>Soft Tissue Sarcoma</w:t>
      </w:r>
      <w:r w:rsidR="00C318A2">
        <w:rPr>
          <w:vertAlign w:val="superscript"/>
        </w:rPr>
        <w:t>5</w:t>
      </w:r>
    </w:p>
    <w:p w14:paraId="0CAEEAD8" w14:textId="48BF2FEF" w:rsidR="00271B43" w:rsidRPr="003B6F03" w:rsidRDefault="00271B43" w:rsidP="00271B43">
      <w:pPr>
        <w:pStyle w:val="BodyText"/>
      </w:pPr>
      <w:r w:rsidRPr="003B6F03">
        <w:t>Authorization of 12 months may be granted for treatment of any of the following subtypes of soft tissue sarcoma as single agent therapy: locally advanced unresectable or metastatic perivascular epithelioid cell tumor (</w:t>
      </w:r>
      <w:proofErr w:type="spellStart"/>
      <w:r w:rsidRPr="003B6F03">
        <w:t>PEComa</w:t>
      </w:r>
      <w:proofErr w:type="spellEnd"/>
      <w:r w:rsidRPr="003B6F03">
        <w:t>), recurrent angiomyolipoma, or recurrent lymphangioleiomyomatosis.</w:t>
      </w:r>
    </w:p>
    <w:p w14:paraId="2D741632" w14:textId="505E75B5" w:rsidR="00271B43" w:rsidRPr="003B6F03" w:rsidRDefault="00271B43" w:rsidP="00271B43">
      <w:pPr>
        <w:pStyle w:val="Heading3"/>
      </w:pPr>
      <w:r w:rsidRPr="003B6F03">
        <w:t>Gastrointestinal Stromal Tumor (GIST)</w:t>
      </w:r>
      <w:r w:rsidR="00C318A2">
        <w:rPr>
          <w:vertAlign w:val="superscript"/>
        </w:rPr>
        <w:t>5</w:t>
      </w:r>
    </w:p>
    <w:p w14:paraId="4080489A" w14:textId="2B533F8C" w:rsidR="00271B43" w:rsidRPr="003B6F03" w:rsidRDefault="00271B43" w:rsidP="00271B43">
      <w:pPr>
        <w:pStyle w:val="BodyText"/>
      </w:pPr>
      <w:r w:rsidRPr="003B6F03">
        <w:t xml:space="preserve">Authorization of 12 months may be granted for treatment of residual, unresectable, recurrent, or metastatic/tumor rupture GIST in combination with either imatinib, sunitinib, or regorafenib for members who have failed at least four FDA-approved therapies (e.g., imatinib, sunitinib, regorafenib, ripretinib) </w:t>
      </w:r>
    </w:p>
    <w:p w14:paraId="146E156A" w14:textId="08DADE6A" w:rsidR="00271B43" w:rsidRPr="003B6F03" w:rsidRDefault="00271B43" w:rsidP="00271B43">
      <w:pPr>
        <w:pStyle w:val="Heading3"/>
      </w:pPr>
      <w:r w:rsidRPr="003B6F03">
        <w:t>Thymoma and Thymic Carcinoma</w:t>
      </w:r>
      <w:r w:rsidR="00C318A2">
        <w:rPr>
          <w:vertAlign w:val="superscript"/>
        </w:rPr>
        <w:t>5</w:t>
      </w:r>
    </w:p>
    <w:p w14:paraId="2CEFFB3D" w14:textId="1DC339DB" w:rsidR="00271B43" w:rsidRPr="003B6F03" w:rsidRDefault="00271B43" w:rsidP="00271B43">
      <w:pPr>
        <w:pStyle w:val="BodyText"/>
      </w:pPr>
      <w:r w:rsidRPr="003B6F03">
        <w:t>Authorization of 12 months may be granted for treatment of thymoma or thymic carcinoma as a single agent.</w:t>
      </w:r>
    </w:p>
    <w:p w14:paraId="0D861F84" w14:textId="30F6781D" w:rsidR="00271B43" w:rsidRPr="003B6F03" w:rsidRDefault="00271B43" w:rsidP="00271B43">
      <w:pPr>
        <w:pStyle w:val="Heading3"/>
      </w:pPr>
      <w:r w:rsidRPr="003B6F03">
        <w:t>Classic Hodgkin Lymphoma</w:t>
      </w:r>
      <w:r w:rsidR="00C318A2">
        <w:rPr>
          <w:vertAlign w:val="superscript"/>
        </w:rPr>
        <w:t>5</w:t>
      </w:r>
      <w:r w:rsidRPr="003B6F03">
        <w:rPr>
          <w:vertAlign w:val="superscript"/>
        </w:rPr>
        <w:t>,</w:t>
      </w:r>
      <w:r w:rsidR="00C318A2">
        <w:rPr>
          <w:vertAlign w:val="superscript"/>
        </w:rPr>
        <w:t>9</w:t>
      </w:r>
    </w:p>
    <w:p w14:paraId="6D73C1F3" w14:textId="77777777" w:rsidR="00271B43" w:rsidRPr="003B6F03" w:rsidRDefault="00271B43" w:rsidP="00271B43">
      <w:pPr>
        <w:pStyle w:val="BodyText"/>
      </w:pPr>
      <w:r w:rsidRPr="003B6F03">
        <w:t>Authorization of 12 months may be granted for treatment of relapsed or refractory classic Hodgkin lymphoma after at least three prior therapies, as a single agent.</w:t>
      </w:r>
    </w:p>
    <w:p w14:paraId="324BB82E" w14:textId="6BA3B069" w:rsidR="00271B43" w:rsidRPr="003B6F03" w:rsidRDefault="00271B43" w:rsidP="00271B43">
      <w:pPr>
        <w:pStyle w:val="Heading3"/>
      </w:pPr>
      <w:r w:rsidRPr="003B6F03">
        <w:t>Waldenström’s Macroglobulinemia/Lymphoplasmacytic Lymphoma</w:t>
      </w:r>
      <w:r w:rsidR="00C318A2">
        <w:rPr>
          <w:vertAlign w:val="superscript"/>
        </w:rPr>
        <w:t>5</w:t>
      </w:r>
    </w:p>
    <w:p w14:paraId="07FEFCBD" w14:textId="00B20353" w:rsidR="00271B43" w:rsidRPr="003B6F03" w:rsidRDefault="00271B43" w:rsidP="00271B43">
      <w:pPr>
        <w:pStyle w:val="BodyText"/>
      </w:pPr>
      <w:r w:rsidRPr="003B6F03">
        <w:t>Authorization of 12 months may be granted for treatment of Waldenström’s macroglobulinemia/lymphoplasmacytic lymphoma as a single-agent therapy for previously treated disease.</w:t>
      </w:r>
    </w:p>
    <w:p w14:paraId="5C32A1A5" w14:textId="61E546BD" w:rsidR="00271B43" w:rsidRPr="003B6F03" w:rsidRDefault="00271B43" w:rsidP="00271B43">
      <w:pPr>
        <w:pStyle w:val="Heading3"/>
      </w:pPr>
      <w:r w:rsidRPr="003B6F03">
        <w:t>Papillary, Oncocytic, or Follicular Thyroid Carcinoma</w:t>
      </w:r>
      <w:r w:rsidR="00C318A2">
        <w:rPr>
          <w:vertAlign w:val="superscript"/>
        </w:rPr>
        <w:t>5</w:t>
      </w:r>
    </w:p>
    <w:p w14:paraId="7179C0B8" w14:textId="40C199A3" w:rsidR="00271B43" w:rsidRPr="003B6F03" w:rsidRDefault="00271B43" w:rsidP="00271B43">
      <w:pPr>
        <w:pStyle w:val="BodyText"/>
      </w:pPr>
      <w:r w:rsidRPr="003B6F03">
        <w:t xml:space="preserve">Authorization of 12 months may be granted for treatment of progressive and/or symptomatic papillary, oncocytic/Hürthle cell, or follicular thyroid carcinoma not amenable to radioactive iodine (RAI) therapy. </w:t>
      </w:r>
    </w:p>
    <w:p w14:paraId="66E34841" w14:textId="7112ABE3" w:rsidR="00271B43" w:rsidRPr="003B6F03" w:rsidRDefault="00271B43" w:rsidP="00271B43">
      <w:pPr>
        <w:pStyle w:val="Heading3"/>
      </w:pPr>
      <w:r w:rsidRPr="003B6F03">
        <w:t>Uterine Neoplasms</w:t>
      </w:r>
      <w:r w:rsidR="00C318A2">
        <w:rPr>
          <w:vertAlign w:val="superscript"/>
        </w:rPr>
        <w:t>5</w:t>
      </w:r>
    </w:p>
    <w:p w14:paraId="3857D7BB" w14:textId="77777777" w:rsidR="00271B43" w:rsidRPr="003B6F03" w:rsidRDefault="00271B43" w:rsidP="00271B43">
      <w:pPr>
        <w:pStyle w:val="BodyText"/>
      </w:pPr>
      <w:r w:rsidRPr="003B6F03">
        <w:t>Authorization of 12 months may be granted for treatment of the following uterine neoplasms:</w:t>
      </w:r>
    </w:p>
    <w:p w14:paraId="1CFBECEA" w14:textId="77777777" w:rsidR="00271B43" w:rsidRPr="003B6F03" w:rsidRDefault="00271B43" w:rsidP="00485A2B">
      <w:pPr>
        <w:pStyle w:val="ListParagraph"/>
        <w:numPr>
          <w:ilvl w:val="0"/>
          <w:numId w:val="31"/>
        </w:numPr>
      </w:pPr>
      <w:r w:rsidRPr="003B6F03">
        <w:t>Endometrial carcinoma in combination with letrozole</w:t>
      </w:r>
    </w:p>
    <w:p w14:paraId="66A81A8F" w14:textId="27144DDF" w:rsidR="00271B43" w:rsidRPr="003B6F03" w:rsidRDefault="00271B43" w:rsidP="00485A2B">
      <w:pPr>
        <w:pStyle w:val="ListParagraph"/>
        <w:numPr>
          <w:ilvl w:val="0"/>
          <w:numId w:val="31"/>
        </w:numPr>
      </w:pPr>
      <w:r w:rsidRPr="003B6F03">
        <w:t>Uterine sarcoma as a single agent for subsequent therapy</w:t>
      </w:r>
    </w:p>
    <w:p w14:paraId="5A0FDBF4" w14:textId="7305D936" w:rsidR="00271B43" w:rsidRPr="003B6F03" w:rsidRDefault="00271B43" w:rsidP="00271B43">
      <w:pPr>
        <w:pStyle w:val="Heading3"/>
      </w:pPr>
      <w:r w:rsidRPr="003B6F03">
        <w:lastRenderedPageBreak/>
        <w:t>Central Nervous System Cancers</w:t>
      </w:r>
      <w:r w:rsidR="00C318A2">
        <w:rPr>
          <w:vertAlign w:val="superscript"/>
        </w:rPr>
        <w:t>5</w:t>
      </w:r>
      <w:r w:rsidRPr="003B6F03">
        <w:rPr>
          <w:vertAlign w:val="superscript"/>
        </w:rPr>
        <w:t>,1</w:t>
      </w:r>
      <w:r w:rsidR="00C318A2">
        <w:rPr>
          <w:vertAlign w:val="superscript"/>
        </w:rPr>
        <w:t>1</w:t>
      </w:r>
      <w:r w:rsidRPr="003B6F03">
        <w:rPr>
          <w:vertAlign w:val="superscript"/>
        </w:rPr>
        <w:t>-1</w:t>
      </w:r>
      <w:r w:rsidR="009D6A57">
        <w:rPr>
          <w:vertAlign w:val="superscript"/>
        </w:rPr>
        <w:t>3</w:t>
      </w:r>
    </w:p>
    <w:p w14:paraId="2D761115" w14:textId="77777777" w:rsidR="00271B43" w:rsidRPr="003B6F03" w:rsidRDefault="00271B43" w:rsidP="00271B43">
      <w:pPr>
        <w:pStyle w:val="BodyText"/>
      </w:pPr>
      <w:r w:rsidRPr="003B6F03">
        <w:t xml:space="preserve">Authorization of 12 months may be granted for treatment of the following central nervous system cancers: </w:t>
      </w:r>
    </w:p>
    <w:p w14:paraId="257A2C9F" w14:textId="77777777" w:rsidR="00271B43" w:rsidRPr="003B6F03" w:rsidRDefault="00271B43" w:rsidP="00485A2B">
      <w:pPr>
        <w:pStyle w:val="ListParagraph"/>
        <w:numPr>
          <w:ilvl w:val="0"/>
          <w:numId w:val="32"/>
        </w:numPr>
      </w:pPr>
      <w:r w:rsidRPr="003B6F03">
        <w:t>Glioma (including glioblastoma) or meningioma</w:t>
      </w:r>
    </w:p>
    <w:p w14:paraId="57AAE2DF" w14:textId="50FC347C" w:rsidR="00271B43" w:rsidRPr="003B6F03" w:rsidRDefault="00271B43" w:rsidP="00485A2B">
      <w:pPr>
        <w:pStyle w:val="ListParagraph"/>
        <w:numPr>
          <w:ilvl w:val="0"/>
          <w:numId w:val="32"/>
        </w:numPr>
      </w:pPr>
      <w:r w:rsidRPr="003B6F03">
        <w:t>Adjuvant treatment of subependymal giant cell astrocytoma (SEGA) as a single agent</w:t>
      </w:r>
    </w:p>
    <w:p w14:paraId="51CE7A59" w14:textId="1A488ED5" w:rsidR="00271B43" w:rsidRPr="003B6F03" w:rsidRDefault="00271B43" w:rsidP="00271B43">
      <w:pPr>
        <w:pStyle w:val="Heading3"/>
      </w:pPr>
      <w:r w:rsidRPr="003B6F03">
        <w:t>Histiocytic Neoplasms</w:t>
      </w:r>
      <w:r w:rsidR="009D6A57">
        <w:rPr>
          <w:vertAlign w:val="superscript"/>
        </w:rPr>
        <w:t>5</w:t>
      </w:r>
    </w:p>
    <w:p w14:paraId="79389367" w14:textId="77777777" w:rsidR="00271B43" w:rsidRPr="003B6F03" w:rsidRDefault="00271B43" w:rsidP="00271B43">
      <w:pPr>
        <w:pStyle w:val="BodyText"/>
      </w:pPr>
      <w:r w:rsidRPr="003B6F03">
        <w:t>Authorization of 12 months may be granted for the treatment of any of the following histiocytic neoplasm subtypes as a single agent in members with a phosphatidylinositol-4,5-bisphosphate 3-kinase catalytic subunit alpha (PIK3CA) mutation:</w:t>
      </w:r>
    </w:p>
    <w:p w14:paraId="0A7BC5EA" w14:textId="77777777" w:rsidR="00271B43" w:rsidRPr="003B6F03" w:rsidRDefault="00271B43" w:rsidP="00485A2B">
      <w:pPr>
        <w:pStyle w:val="ListParagraph"/>
        <w:numPr>
          <w:ilvl w:val="0"/>
          <w:numId w:val="33"/>
        </w:numPr>
      </w:pPr>
      <w:r w:rsidRPr="003B6F03">
        <w:t>Symptomatic or relapsed/refractory Erdheim-Chester Disease (ECD)</w:t>
      </w:r>
    </w:p>
    <w:p w14:paraId="49646046" w14:textId="77777777" w:rsidR="00271B43" w:rsidRPr="003B6F03" w:rsidRDefault="00271B43" w:rsidP="00485A2B">
      <w:pPr>
        <w:pStyle w:val="ListParagraph"/>
        <w:numPr>
          <w:ilvl w:val="0"/>
          <w:numId w:val="33"/>
        </w:numPr>
      </w:pPr>
      <w:r w:rsidRPr="003B6F03">
        <w:t>Symptomatic or relapsed/refractory Rosai-Dorfman Disease</w:t>
      </w:r>
    </w:p>
    <w:p w14:paraId="554B6E8F" w14:textId="2ACE3519" w:rsidR="00B836B0" w:rsidRPr="003B6F03" w:rsidRDefault="00271B43" w:rsidP="00485A2B">
      <w:pPr>
        <w:pStyle w:val="ListParagraph"/>
        <w:numPr>
          <w:ilvl w:val="0"/>
          <w:numId w:val="33"/>
        </w:numPr>
      </w:pPr>
      <w:r w:rsidRPr="003B6F03">
        <w:t>Langerhans Cell Histiocytosis (LCH)</w:t>
      </w:r>
    </w:p>
    <w:p w14:paraId="3A643EC3" w14:textId="41DAB4A7" w:rsidR="00A501AC" w:rsidRPr="003B6F03" w:rsidRDefault="00A501AC" w:rsidP="00A501AC">
      <w:pPr>
        <w:pStyle w:val="Heading2"/>
      </w:pPr>
      <w:r w:rsidRPr="003B6F03">
        <w:t>Continuation of Therapy</w:t>
      </w:r>
      <w:r w:rsidR="003B6F03">
        <w:t xml:space="preserve"> </w:t>
      </w:r>
    </w:p>
    <w:p w14:paraId="0211A72C" w14:textId="77777777" w:rsidR="005A797A" w:rsidRDefault="00EC4286" w:rsidP="00EC4286">
      <w:pPr>
        <w:pStyle w:val="BodyText"/>
      </w:pPr>
      <w:r w:rsidRPr="003B6F03">
        <w:t>Authorization of 12 months may be granted for continued treatment in members requesting reauthorization for an indication in the coverage criteria when there is no evidence of unacceptable toxicity or disease progression while on the current regimen.</w:t>
      </w:r>
    </w:p>
    <w:p w14:paraId="10DA4309" w14:textId="1B43D582" w:rsidR="00FF66BF" w:rsidRPr="003B6F03" w:rsidRDefault="00FF66BF" w:rsidP="00FF66BF">
      <w:pPr>
        <w:pStyle w:val="Heading2"/>
      </w:pPr>
      <w:r w:rsidRPr="003B6F03">
        <w:t>References</w:t>
      </w:r>
    </w:p>
    <w:p w14:paraId="3E292F14" w14:textId="0DB86CAC" w:rsidR="00EC4286" w:rsidRDefault="00EC4286" w:rsidP="00EC4286">
      <w:pPr>
        <w:pStyle w:val="ReferenceOrdered"/>
      </w:pPr>
      <w:r w:rsidRPr="003B6F03">
        <w:t>Afinitor and Afinitor Disperz [package insert]. East Hanover, NJ: Novartis Pharmaceuticals Corporation; February 2022.</w:t>
      </w:r>
      <w:r w:rsidR="003B6F03">
        <w:t xml:space="preserve"> </w:t>
      </w:r>
    </w:p>
    <w:p w14:paraId="425F07CE" w14:textId="010F17B5" w:rsidR="009D6A57" w:rsidRPr="003B6F03" w:rsidRDefault="009D6A57" w:rsidP="00EC4286">
      <w:pPr>
        <w:pStyle w:val="ReferenceOrdered"/>
      </w:pPr>
      <w:proofErr w:type="spellStart"/>
      <w:r w:rsidRPr="009D6A57">
        <w:t>Torpenz</w:t>
      </w:r>
      <w:proofErr w:type="spellEnd"/>
      <w:r w:rsidRPr="009D6A57">
        <w:t xml:space="preserve"> [package insert]. Maple Grove, MN: Upsher-Smith Laboratories, LLC; June 2024.   </w:t>
      </w:r>
    </w:p>
    <w:p w14:paraId="4CFFDE3E" w14:textId="77777777" w:rsidR="00EC4286" w:rsidRPr="003B6F03" w:rsidRDefault="00EC4286" w:rsidP="00EC4286">
      <w:pPr>
        <w:pStyle w:val="ReferenceOrdered"/>
      </w:pPr>
      <w:r w:rsidRPr="003B6F03">
        <w:t>Everolimus [package insert]. Chestnut Ridge, NY: Par Pharmaceutical; July 2021.</w:t>
      </w:r>
    </w:p>
    <w:p w14:paraId="0EFDD169" w14:textId="77777777" w:rsidR="00EC4286" w:rsidRPr="003B6F03" w:rsidRDefault="00EC4286" w:rsidP="00EC4286">
      <w:pPr>
        <w:pStyle w:val="ReferenceOrdered"/>
      </w:pPr>
      <w:r w:rsidRPr="003B6F03">
        <w:t>Everolimus tablet for suspension [package insert]. Morgantown, WV: Mylan Pharmaceuticals Inc.; May 2023.</w:t>
      </w:r>
    </w:p>
    <w:p w14:paraId="3A57574D" w14:textId="2E517F8F" w:rsidR="00EC4286" w:rsidRPr="003B6F03" w:rsidRDefault="00EC4286" w:rsidP="00EC4286">
      <w:pPr>
        <w:pStyle w:val="ReferenceOrdered"/>
      </w:pPr>
      <w:r w:rsidRPr="003B6F03">
        <w:t>The NCCN Drugs &amp; Biologics Compendium 2024 National Comprehensive Cancer Network, Inc. https://www.nccn.org. Accessed May 2, 2024.</w:t>
      </w:r>
      <w:r w:rsidR="003B6F03">
        <w:t xml:space="preserve"> </w:t>
      </w:r>
    </w:p>
    <w:p w14:paraId="43BCFA9E" w14:textId="7FB0D2E1" w:rsidR="00EC4286" w:rsidRPr="003B6F03" w:rsidRDefault="00EC4286" w:rsidP="00EC4286">
      <w:pPr>
        <w:pStyle w:val="ReferenceOrdered"/>
      </w:pPr>
      <w:r w:rsidRPr="003B6F03">
        <w:rPr>
          <w:lang w:val="it-IT"/>
        </w:rPr>
        <w:t xml:space="preserve">Baselga J, Campone M, Piccart M, et al. </w:t>
      </w:r>
      <w:r w:rsidRPr="003B6F03">
        <w:t>Everolimus in postmenopausal hormone-receptor–positive advanced breast cancer.</w:t>
      </w:r>
      <w:r w:rsidR="003B6F03">
        <w:t xml:space="preserve"> </w:t>
      </w:r>
      <w:r w:rsidRPr="003B6F03">
        <w:t>N Engl J Med. 2012;366(6):520-529.</w:t>
      </w:r>
    </w:p>
    <w:p w14:paraId="43E74A7A" w14:textId="656BC9B6" w:rsidR="00EC4286" w:rsidRPr="003B6F03" w:rsidRDefault="00EC4286" w:rsidP="00EC4286">
      <w:pPr>
        <w:pStyle w:val="ReferenceOrdered"/>
      </w:pPr>
      <w:r w:rsidRPr="003B6F03">
        <w:t>Yardley DA, Noguchi S, Pritchard KI, et al.</w:t>
      </w:r>
      <w:r w:rsidR="003B6F03">
        <w:t xml:space="preserve"> </w:t>
      </w:r>
      <w:r w:rsidRPr="003B6F03">
        <w:t xml:space="preserve">Everolimus plus exemestane in postmenopausal patients with HR(+) breast cancer: BOLERO-2 final progression-free survival analysis. Adv Ther 2013;30:870-884. </w:t>
      </w:r>
    </w:p>
    <w:p w14:paraId="1B210450" w14:textId="77777777" w:rsidR="00EC4286" w:rsidRPr="003B6F03" w:rsidRDefault="00EC4286" w:rsidP="00EC4286">
      <w:pPr>
        <w:pStyle w:val="ReferenceOrdered"/>
      </w:pPr>
      <w:r w:rsidRPr="003B6F03">
        <w:t xml:space="preserve">Sampson JR. Therapeutic targeting of mTOR in tuberous sclerosis. </w:t>
      </w:r>
      <w:proofErr w:type="spellStart"/>
      <w:r w:rsidRPr="003B6F03">
        <w:t>Biochem</w:t>
      </w:r>
      <w:proofErr w:type="spellEnd"/>
      <w:r w:rsidRPr="003B6F03">
        <w:t xml:space="preserve"> Soc Trans. 2009;37:259-264. </w:t>
      </w:r>
    </w:p>
    <w:p w14:paraId="5CAF2A4E" w14:textId="7904AE7C" w:rsidR="00EC4286" w:rsidRPr="003B6F03" w:rsidRDefault="00EC4286" w:rsidP="00EC4286">
      <w:pPr>
        <w:pStyle w:val="ReferenceOrdered"/>
      </w:pPr>
      <w:r w:rsidRPr="003B6F03">
        <w:lastRenderedPageBreak/>
        <w:t>Johnston PB, Inwards DJ, Colgan JP, et al.</w:t>
      </w:r>
      <w:r w:rsidR="003B6F03">
        <w:t xml:space="preserve"> </w:t>
      </w:r>
      <w:r w:rsidRPr="003B6F03">
        <w:t>A Phase II trial of the oral mTOR inhibitor everolimus in relapsed Hodgkin lymphoma.</w:t>
      </w:r>
      <w:r w:rsidR="003B6F03">
        <w:t xml:space="preserve"> </w:t>
      </w:r>
      <w:r w:rsidRPr="003B6F03">
        <w:t xml:space="preserve">Am J </w:t>
      </w:r>
      <w:proofErr w:type="spellStart"/>
      <w:r w:rsidRPr="003B6F03">
        <w:t>Hematol</w:t>
      </w:r>
      <w:proofErr w:type="spellEnd"/>
      <w:r w:rsidRPr="003B6F03">
        <w:t xml:space="preserve"> 2010;85:320-324.</w:t>
      </w:r>
    </w:p>
    <w:p w14:paraId="46F6E9D9" w14:textId="77777777" w:rsidR="00EC4286" w:rsidRPr="003B6F03" w:rsidRDefault="00EC4286" w:rsidP="00EC4286">
      <w:pPr>
        <w:pStyle w:val="ReferenceOrdered"/>
      </w:pPr>
      <w:r w:rsidRPr="003B6F03">
        <w:t>Darcy A. Krueger, Hope Northrup, et al. Tuberous Sclerosis Complex Surveillance and Management: Recommendations of the 2012 International Tuberous Sclerosis Complex Consensus Conference. Pediatric Neurology. 2013. 49: 255-265.</w:t>
      </w:r>
    </w:p>
    <w:p w14:paraId="0975F8CF" w14:textId="77777777" w:rsidR="00EC4286" w:rsidRPr="003B6F03" w:rsidRDefault="00EC4286" w:rsidP="00EC4286">
      <w:pPr>
        <w:pStyle w:val="ReferenceOrdered"/>
      </w:pPr>
      <w:r w:rsidRPr="003B6F03">
        <w:rPr>
          <w:lang w:val="fr-FR"/>
        </w:rPr>
        <w:t xml:space="preserve">Wahl Michael, Chang, Susan, et al. </w:t>
      </w:r>
      <w:r w:rsidRPr="003B6F03">
        <w:t>Probing the PI3K/mTOR Pathway in Gliomas: A Phase II Study of Everolimus for Recurrent Adult Low Grade Gliomas. Cancer. 2017; 123 (23): 4631-4639.</w:t>
      </w:r>
    </w:p>
    <w:p w14:paraId="0DD6E1E9" w14:textId="77777777" w:rsidR="00EC4286" w:rsidRPr="003B6F03" w:rsidRDefault="00EC4286" w:rsidP="00EC4286">
      <w:pPr>
        <w:pStyle w:val="ReferenceOrdered"/>
      </w:pPr>
      <w:r w:rsidRPr="003B6F03">
        <w:t>Shih KC, Chowdhary S, et al. A Phase II trial of bevacizumab and everolimus as treatment for patients with refractory, progressive, intracranial meningioma. Journal of Neuro-Oncology. 2016. 129 (2): 281-8.</w:t>
      </w:r>
    </w:p>
    <w:p w14:paraId="47E1A10C" w14:textId="32D019A4" w:rsidR="00C44990" w:rsidRPr="003314BB" w:rsidRDefault="00EC4286" w:rsidP="0044279F">
      <w:pPr>
        <w:pStyle w:val="ReferenceOrdered"/>
      </w:pPr>
      <w:r w:rsidRPr="003B6F03">
        <w:t xml:space="preserve">Hainsworth, John D, et al. Phase II Study of concurrent radiation therapy, temozolomide, and bevacizumab followed by bevacizumab/everolimus as first-line treatment of patients with glioblastoma. Clin adv </w:t>
      </w:r>
      <w:proofErr w:type="spellStart"/>
      <w:r w:rsidRPr="003B6F03">
        <w:t>Hematol</w:t>
      </w:r>
      <w:proofErr w:type="spellEnd"/>
      <w:r w:rsidRPr="003B6F03">
        <w:t>. Oncol. 2012. 10 (4): 240-6.</w:t>
      </w:r>
    </w:p>
    <w:sectPr w:rsidR="00C44990" w:rsidRPr="003314BB" w:rsidSect="00AA1E6A">
      <w:footerReference w:type="default" r:id="rId15"/>
      <w:headerReference w:type="first" r:id="rId16"/>
      <w:footerReference w:type="first" r:id="rId17"/>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99CD68" w14:textId="77777777" w:rsidR="008D59B2" w:rsidRDefault="008D59B2">
      <w:r>
        <w:separator/>
      </w:r>
    </w:p>
  </w:endnote>
  <w:endnote w:type="continuationSeparator" w:id="0">
    <w:p w14:paraId="75AFBFBD" w14:textId="77777777" w:rsidR="008D59B2" w:rsidRDefault="008D59B2">
      <w:r>
        <w:continuationSeparator/>
      </w:r>
    </w:p>
  </w:endnote>
  <w:endnote w:type="continuationNotice" w:id="1">
    <w:p w14:paraId="42122E37" w14:textId="77777777" w:rsidR="008D59B2" w:rsidRDefault="008D59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7FF92C6A"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3B6F03" w:rsidRPr="003B6F03">
      <w:rPr>
        <w:rFonts w:cs="Arial"/>
        <w:noProof/>
        <w:sz w:val="16"/>
        <w:szCs w:val="16"/>
      </w:rPr>
      <w:t>everolimus-Afinitor</w:t>
    </w:r>
    <w:r w:rsidR="003B6F03">
      <w:rPr>
        <w:rFonts w:cs="Arial"/>
        <w:noProof/>
        <w:snapToGrid w:val="0"/>
        <w:color w:val="000000"/>
        <w:sz w:val="16"/>
        <w:szCs w:val="16"/>
      </w:rPr>
      <w:t xml:space="preserve"> Products 2021-A</w:t>
    </w:r>
    <w:r w:rsidR="003B6F03" w:rsidRPr="003B6F03">
      <w:rPr>
        <w:rFonts w:cs="Arial"/>
        <w:noProof/>
        <w:sz w:val="16"/>
        <w:szCs w:val="16"/>
      </w:rPr>
      <w:t xml:space="preserve"> SGM</w:t>
    </w:r>
    <w:r w:rsidR="003B6F03">
      <w:rPr>
        <w:rFonts w:cs="Arial"/>
        <w:noProof/>
        <w:snapToGrid w:val="0"/>
        <w:color w:val="000000"/>
        <w:sz w:val="16"/>
        <w:szCs w:val="16"/>
      </w:rPr>
      <w:t xml:space="preserve"> 2024.docx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1B54682D"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3314BB" w:rsidRPr="003314BB">
      <w:rPr>
        <w:rFonts w:cs="Arial"/>
        <w:noProof/>
        <w:sz w:val="16"/>
        <w:szCs w:val="16"/>
      </w:rPr>
      <w:t>everolimus</w:t>
    </w:r>
    <w:r w:rsidR="003314BB">
      <w:rPr>
        <w:rFonts w:cs="Arial"/>
        <w:noProof/>
        <w:snapToGrid w:val="0"/>
        <w:color w:val="000000"/>
        <w:sz w:val="16"/>
        <w:szCs w:val="16"/>
      </w:rPr>
      <w:t xml:space="preserve"> products SGM</w:t>
    </w:r>
    <w:r w:rsidR="003314BB" w:rsidRPr="003314BB">
      <w:rPr>
        <w:rFonts w:cs="Arial"/>
        <w:noProof/>
        <w:sz w:val="16"/>
        <w:szCs w:val="16"/>
      </w:rPr>
      <w:t xml:space="preserve"> 2021-A</w:t>
    </w:r>
    <w:r w:rsidR="003314BB">
      <w:rPr>
        <w:rFonts w:cs="Arial"/>
        <w:noProof/>
        <w:snapToGrid w:val="0"/>
        <w:color w:val="000000"/>
        <w:sz w:val="16"/>
        <w:szCs w:val="16"/>
      </w:rPr>
      <w:t xml:space="preserve"> P2024a_R.docx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21BFE1C6"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63C36DA6" w:rsidR="00ED04EC" w:rsidRPr="00F50D98" w:rsidRDefault="00F50D98" w:rsidP="0044279F">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0D71F" w14:textId="4885BCCB" w:rsidR="005A797A" w:rsidRPr="003B6F03" w:rsidRDefault="005A797A" w:rsidP="005A797A">
    <w:pPr>
      <w:tabs>
        <w:tab w:val="right" w:pos="10710"/>
      </w:tabs>
      <w:spacing w:before="120" w:after="120"/>
      <w:rPr>
        <w:rFonts w:cs="Arial"/>
        <w:snapToGrid w:val="0"/>
        <w:color w:val="000000"/>
        <w:sz w:val="16"/>
      </w:rPr>
    </w:pPr>
    <w:r w:rsidRPr="003B6F03">
      <w:rPr>
        <w:rFonts w:cs="Arial"/>
        <w:noProof/>
        <w:snapToGrid w:val="0"/>
        <w:color w:val="000000"/>
        <w:sz w:val="16"/>
        <w:szCs w:val="16"/>
      </w:rPr>
      <w:fldChar w:fldCharType="begin"/>
    </w:r>
    <w:r w:rsidRPr="003B6F03">
      <w:rPr>
        <w:rFonts w:cs="Arial"/>
        <w:noProof/>
        <w:snapToGrid w:val="0"/>
        <w:color w:val="000000"/>
        <w:sz w:val="16"/>
        <w:szCs w:val="16"/>
      </w:rPr>
      <w:instrText xml:space="preserve"> FILENAME \* MERGEFORMAT </w:instrText>
    </w:r>
    <w:r w:rsidRPr="003B6F03">
      <w:rPr>
        <w:rFonts w:cs="Arial"/>
        <w:noProof/>
        <w:snapToGrid w:val="0"/>
        <w:color w:val="000000"/>
        <w:sz w:val="16"/>
        <w:szCs w:val="16"/>
      </w:rPr>
      <w:fldChar w:fldCharType="separate"/>
    </w:r>
    <w:r w:rsidR="003314BB">
      <w:rPr>
        <w:rFonts w:cs="Arial"/>
        <w:noProof/>
        <w:snapToGrid w:val="0"/>
        <w:color w:val="000000"/>
        <w:sz w:val="16"/>
        <w:szCs w:val="16"/>
      </w:rPr>
      <w:t>everolimus products SGM 2021-A P2024a_R.docx</w:t>
    </w:r>
    <w:r w:rsidRPr="003B6F03">
      <w:rPr>
        <w:rFonts w:cs="Arial"/>
        <w:noProof/>
        <w:snapToGrid w:val="0"/>
        <w:color w:val="000000"/>
        <w:sz w:val="16"/>
        <w:szCs w:val="16"/>
      </w:rPr>
      <w:fldChar w:fldCharType="end"/>
    </w:r>
    <w:r w:rsidRPr="003B6F03">
      <w:rPr>
        <w:rFonts w:cs="Arial"/>
        <w:snapToGrid w:val="0"/>
        <w:color w:val="000000"/>
        <w:sz w:val="16"/>
      </w:rPr>
      <w:tab/>
      <w:t>© 2024 CVS Caremark. All rights reserved.</w:t>
    </w:r>
  </w:p>
  <w:p w14:paraId="263962CE" w14:textId="2F9928D3" w:rsidR="005A797A" w:rsidRPr="003B6F03" w:rsidRDefault="005A797A" w:rsidP="005A797A">
    <w:pPr>
      <w:tabs>
        <w:tab w:val="center" w:pos="4320"/>
        <w:tab w:val="right" w:pos="8640"/>
      </w:tabs>
      <w:spacing w:after="200"/>
      <w:rPr>
        <w:rFonts w:cs="Arial"/>
        <w:sz w:val="16"/>
        <w:szCs w:val="16"/>
      </w:rPr>
    </w:pPr>
    <w:r w:rsidRPr="003B6F03">
      <w:rPr>
        <w:rFonts w:cs="Arial"/>
        <w:sz w:val="16"/>
        <w:szCs w:val="16"/>
      </w:rPr>
      <w:t>This document contains c</w:t>
    </w:r>
    <w:r w:rsidRPr="003B6F03">
      <w:rPr>
        <w:rFonts w:cs="Arial"/>
        <w:snapToGrid w:val="0"/>
        <w:sz w:val="16"/>
        <w:szCs w:val="16"/>
      </w:rPr>
      <w:t xml:space="preserve">onfidential and proprietary information of CVS Caremark and cannot be reproduced, distributed or printed without written permission from CVS Caremark. </w:t>
    </w:r>
    <w:r w:rsidRPr="003B6F03">
      <w:rPr>
        <w:rFonts w:cs="Arial"/>
        <w:sz w:val="16"/>
        <w:szCs w:val="16"/>
      </w:rPr>
      <w:t xml:space="preserve">This document contains prescription brand name drugs that are trademarks or registered trademarks of pharmaceutical manufacturers that are not affiliated with </w:t>
    </w:r>
    <w:r w:rsidRPr="003B6F03">
      <w:rPr>
        <w:rFonts w:cs="Arial"/>
        <w:snapToGrid w:val="0"/>
        <w:sz w:val="16"/>
        <w:szCs w:val="16"/>
      </w:rPr>
      <w:t>CVS Caremark</w:t>
    </w:r>
    <w:r w:rsidRPr="003B6F03">
      <w:rPr>
        <w:rFonts w:cs="Arial"/>
        <w:sz w:val="16"/>
        <w:szCs w:val="16"/>
      </w:rPr>
      <w:t>.</w:t>
    </w:r>
  </w:p>
  <w:p w14:paraId="743C79FA" w14:textId="315B42CE" w:rsidR="005A797A" w:rsidRPr="003B6F03" w:rsidRDefault="005A797A" w:rsidP="0044279F">
    <w:pPr>
      <w:autoSpaceDE w:val="0"/>
      <w:autoSpaceDN w:val="0"/>
      <w:adjustRightInd w:val="0"/>
      <w:jc w:val="center"/>
      <w:rPr>
        <w:rFonts w:cs="Arial"/>
        <w:sz w:val="16"/>
        <w:szCs w:val="16"/>
      </w:rPr>
    </w:pPr>
    <w:r w:rsidRPr="003B6F03">
      <w:rPr>
        <w:rFonts w:cs="Arial"/>
        <w:sz w:val="16"/>
        <w:szCs w:val="16"/>
      </w:rPr>
      <w:fldChar w:fldCharType="begin"/>
    </w:r>
    <w:r w:rsidRPr="003B6F03">
      <w:rPr>
        <w:rFonts w:cs="Arial"/>
        <w:sz w:val="16"/>
        <w:szCs w:val="16"/>
      </w:rPr>
      <w:instrText xml:space="preserve"> PAGE   \* MERGEFORMAT </w:instrText>
    </w:r>
    <w:r w:rsidRPr="003B6F03">
      <w:rPr>
        <w:rFonts w:cs="Arial"/>
        <w:sz w:val="16"/>
        <w:szCs w:val="16"/>
      </w:rPr>
      <w:fldChar w:fldCharType="separate"/>
    </w:r>
    <w:r>
      <w:rPr>
        <w:rFonts w:cs="Arial"/>
        <w:noProof/>
        <w:sz w:val="16"/>
        <w:szCs w:val="16"/>
      </w:rPr>
      <w:t>6</w:t>
    </w:r>
    <w:r w:rsidRPr="003B6F03">
      <w:rPr>
        <w:rFonts w:cs="Arial"/>
        <w:noProof/>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9BB19" w14:textId="7E1C38ED" w:rsidR="00EC4286" w:rsidRPr="00F50D98" w:rsidRDefault="00EC4286" w:rsidP="00F50D98">
    <w:pPr>
      <w:tabs>
        <w:tab w:val="right" w:pos="10710"/>
      </w:tabs>
      <w:jc w:val="righ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D10F54" w14:textId="77777777" w:rsidR="008D59B2" w:rsidRDefault="008D59B2">
      <w:r>
        <w:separator/>
      </w:r>
    </w:p>
  </w:footnote>
  <w:footnote w:type="continuationSeparator" w:id="0">
    <w:p w14:paraId="02B98E82" w14:textId="77777777" w:rsidR="008D59B2" w:rsidRDefault="008D59B2">
      <w:r>
        <w:continuationSeparator/>
      </w:r>
    </w:p>
  </w:footnote>
  <w:footnote w:type="continuationNotice" w:id="1">
    <w:p w14:paraId="4E899234" w14:textId="77777777" w:rsidR="008D59B2" w:rsidRDefault="008D59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3B6F03" w:rsidRDefault="00ED04EC" w:rsidP="00ED04EC">
          <w:pPr>
            <w:pStyle w:val="Header"/>
            <w:rPr>
              <w:rFonts w:cs="Arial"/>
              <w:sz w:val="16"/>
              <w:szCs w:val="16"/>
            </w:rPr>
          </w:pPr>
          <w:r w:rsidRPr="003B6F03">
            <w:rPr>
              <w:rFonts w:cs="Arial"/>
              <w:sz w:val="16"/>
              <w:szCs w:val="16"/>
            </w:rPr>
            <w:t>Reference number(s)</w:t>
          </w:r>
        </w:p>
      </w:tc>
    </w:tr>
    <w:tr w:rsidR="00ED04EC" w:rsidRPr="00ED04EC" w14:paraId="703C6588" w14:textId="77777777">
      <w:trPr>
        <w:trHeight w:val="378"/>
        <w:jc w:val="right"/>
      </w:trPr>
      <w:tc>
        <w:tcPr>
          <w:tcW w:w="1854" w:type="dxa"/>
          <w:hideMark/>
        </w:tcPr>
        <w:p w14:paraId="51CE3E64" w14:textId="130C270F" w:rsidR="00ED04EC" w:rsidRPr="003B6F03" w:rsidRDefault="00EC4286" w:rsidP="00ED04EC">
          <w:pPr>
            <w:pStyle w:val="Header"/>
            <w:rPr>
              <w:rFonts w:cs="Arial"/>
              <w:sz w:val="16"/>
              <w:szCs w:val="16"/>
            </w:rPr>
          </w:pPr>
          <w:r w:rsidRPr="003B6F03">
            <w:rPr>
              <w:rFonts w:cs="Arial"/>
              <w:sz w:val="16"/>
              <w:szCs w:val="16"/>
            </w:rPr>
            <w:t>2021-A</w:t>
          </w:r>
        </w:p>
      </w:tc>
    </w:tr>
  </w:tbl>
  <w:p w14:paraId="0D5ACCC2" w14:textId="462A1075" w:rsidR="00ED04EC" w:rsidRPr="00AA1E6A" w:rsidRDefault="00ED04EC" w:rsidP="00B02279">
    <w:pPr>
      <w:pStyle w:val="Heade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C4286" w:rsidRPr="00ED04EC" w14:paraId="47C38132" w14:textId="77777777" w:rsidTr="00943C38">
      <w:trPr>
        <w:trHeight w:val="144"/>
        <w:jc w:val="right"/>
      </w:trPr>
      <w:tc>
        <w:tcPr>
          <w:tcW w:w="1854" w:type="dxa"/>
          <w:hideMark/>
        </w:tcPr>
        <w:p w14:paraId="55DE2F25" w14:textId="77777777" w:rsidR="00EC4286" w:rsidRPr="003B6F03" w:rsidRDefault="00EC4286" w:rsidP="00EC4286">
          <w:pPr>
            <w:pStyle w:val="Header"/>
            <w:rPr>
              <w:rFonts w:cs="Arial"/>
              <w:sz w:val="16"/>
              <w:szCs w:val="16"/>
            </w:rPr>
          </w:pPr>
          <w:r w:rsidRPr="003B6F03">
            <w:rPr>
              <w:rFonts w:cs="Arial"/>
              <w:sz w:val="16"/>
              <w:szCs w:val="16"/>
            </w:rPr>
            <w:t>Reference number(s)</w:t>
          </w:r>
        </w:p>
      </w:tc>
    </w:tr>
    <w:tr w:rsidR="00EC4286" w:rsidRPr="00ED04EC" w14:paraId="668E5E64" w14:textId="77777777" w:rsidTr="00943C38">
      <w:trPr>
        <w:trHeight w:val="378"/>
        <w:jc w:val="right"/>
      </w:trPr>
      <w:tc>
        <w:tcPr>
          <w:tcW w:w="1854" w:type="dxa"/>
          <w:hideMark/>
        </w:tcPr>
        <w:p w14:paraId="32404471" w14:textId="77777777" w:rsidR="00EC4286" w:rsidRPr="003B6F03" w:rsidRDefault="00EC4286" w:rsidP="00EC4286">
          <w:pPr>
            <w:pStyle w:val="Header"/>
            <w:rPr>
              <w:rFonts w:cs="Arial"/>
              <w:sz w:val="16"/>
              <w:szCs w:val="16"/>
            </w:rPr>
          </w:pPr>
          <w:r w:rsidRPr="003B6F03">
            <w:rPr>
              <w:rFonts w:cs="Arial"/>
              <w:sz w:val="16"/>
              <w:szCs w:val="16"/>
            </w:rPr>
            <w:t>2021-A</w:t>
          </w:r>
        </w:p>
      </w:tc>
    </w:tr>
  </w:tbl>
  <w:p w14:paraId="7EC81D22" w14:textId="77777777" w:rsidR="00EC4286" w:rsidRPr="00AA1E6A" w:rsidRDefault="00EC4286" w:rsidP="00EC4286">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3701365"/>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A7D09BB"/>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1DF44738"/>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23397200"/>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0E91FD4"/>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6774276"/>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8853D3B"/>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C27193B"/>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16B0E84"/>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58E2945"/>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3"/>
  </w:num>
  <w:num w:numId="2" w16cid:durableId="606935877">
    <w:abstractNumId w:val="32"/>
  </w:num>
  <w:num w:numId="3" w16cid:durableId="611589570">
    <w:abstractNumId w:val="25"/>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4"/>
  </w:num>
  <w:num w:numId="15" w16cid:durableId="616722934">
    <w:abstractNumId w:val="11"/>
  </w:num>
  <w:num w:numId="16" w16cid:durableId="898320195">
    <w:abstractNumId w:val="21"/>
  </w:num>
  <w:num w:numId="17" w16cid:durableId="2128498676">
    <w:abstractNumId w:val="35"/>
  </w:num>
  <w:num w:numId="18" w16cid:durableId="299724409">
    <w:abstractNumId w:val="28"/>
  </w:num>
  <w:num w:numId="19" w16cid:durableId="214585573">
    <w:abstractNumId w:val="15"/>
  </w:num>
  <w:num w:numId="20" w16cid:durableId="1289816170">
    <w:abstractNumId w:val="17"/>
  </w:num>
  <w:num w:numId="21" w16cid:durableId="1066490929">
    <w:abstractNumId w:val="36"/>
  </w:num>
  <w:num w:numId="22" w16cid:durableId="1472481103">
    <w:abstractNumId w:val="30"/>
  </w:num>
  <w:num w:numId="23" w16cid:durableId="1997420403">
    <w:abstractNumId w:val="33"/>
  </w:num>
  <w:num w:numId="24" w16cid:durableId="33312838">
    <w:abstractNumId w:val="29"/>
  </w:num>
  <w:num w:numId="25" w16cid:durableId="507404939">
    <w:abstractNumId w:val="20"/>
  </w:num>
  <w:num w:numId="26" w16cid:durableId="1950313333">
    <w:abstractNumId w:val="24"/>
  </w:num>
  <w:num w:numId="27" w16cid:durableId="1866016584">
    <w:abstractNumId w:val="23"/>
  </w:num>
  <w:num w:numId="28" w16cid:durableId="1692339032">
    <w:abstractNumId w:val="22"/>
  </w:num>
  <w:num w:numId="29" w16cid:durableId="1661231012">
    <w:abstractNumId w:val="16"/>
  </w:num>
  <w:num w:numId="30" w16cid:durableId="340087828">
    <w:abstractNumId w:val="27"/>
  </w:num>
  <w:num w:numId="31" w16cid:durableId="1208951927">
    <w:abstractNumId w:val="18"/>
  </w:num>
  <w:num w:numId="32" w16cid:durableId="1106385212">
    <w:abstractNumId w:val="19"/>
  </w:num>
  <w:num w:numId="33" w16cid:durableId="957175572">
    <w:abstractNumId w:val="26"/>
  </w:num>
  <w:num w:numId="34" w16cid:durableId="1903175989">
    <w:abstractNumId w:val="12"/>
  </w:num>
  <w:num w:numId="35" w16cid:durableId="1752702100">
    <w:abstractNumId w:val="34"/>
  </w:num>
  <w:num w:numId="36" w16cid:durableId="930821660">
    <w:abstractNumId w:val="10"/>
  </w:num>
  <w:num w:numId="37" w16cid:durableId="2118670485">
    <w:abstractNumId w:val="31"/>
  </w:num>
  <w:num w:numId="38" w16cid:durableId="1257519792">
    <w:abstractNumId w:val="36"/>
  </w:num>
  <w:num w:numId="39" w16cid:durableId="284699894">
    <w:abstractNumId w:val="36"/>
  </w:num>
  <w:num w:numId="40" w16cid:durableId="733505041">
    <w:abstractNumId w:val="3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0ED"/>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1200"/>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3E8"/>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9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436C"/>
    <w:rsid w:val="000C5A6F"/>
    <w:rsid w:val="000C625F"/>
    <w:rsid w:val="000C62A4"/>
    <w:rsid w:val="000C6C34"/>
    <w:rsid w:val="000C6FAA"/>
    <w:rsid w:val="000C7000"/>
    <w:rsid w:val="000C78EA"/>
    <w:rsid w:val="000C7B51"/>
    <w:rsid w:val="000C7EA2"/>
    <w:rsid w:val="000D0438"/>
    <w:rsid w:val="000D04AF"/>
    <w:rsid w:val="000D1463"/>
    <w:rsid w:val="000D19C4"/>
    <w:rsid w:val="000D1CEC"/>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CA7"/>
    <w:rsid w:val="000E3DD4"/>
    <w:rsid w:val="000E65C5"/>
    <w:rsid w:val="000E6D53"/>
    <w:rsid w:val="000E7263"/>
    <w:rsid w:val="000E7B01"/>
    <w:rsid w:val="000E7C60"/>
    <w:rsid w:val="000F0AC9"/>
    <w:rsid w:val="000F1039"/>
    <w:rsid w:val="000F1FBC"/>
    <w:rsid w:val="000F2A45"/>
    <w:rsid w:val="000F2CC4"/>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111"/>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38FC"/>
    <w:rsid w:val="0011411C"/>
    <w:rsid w:val="00115519"/>
    <w:rsid w:val="001155D7"/>
    <w:rsid w:val="001156BC"/>
    <w:rsid w:val="001159B3"/>
    <w:rsid w:val="0011622E"/>
    <w:rsid w:val="00117495"/>
    <w:rsid w:val="0011772F"/>
    <w:rsid w:val="001202DD"/>
    <w:rsid w:val="00121BD0"/>
    <w:rsid w:val="00121F7F"/>
    <w:rsid w:val="00122472"/>
    <w:rsid w:val="001244EB"/>
    <w:rsid w:val="0012494A"/>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752"/>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D43"/>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37E07"/>
    <w:rsid w:val="00240136"/>
    <w:rsid w:val="00240736"/>
    <w:rsid w:val="00240C70"/>
    <w:rsid w:val="0024185D"/>
    <w:rsid w:val="002423DE"/>
    <w:rsid w:val="00242E29"/>
    <w:rsid w:val="00242F54"/>
    <w:rsid w:val="00243017"/>
    <w:rsid w:val="0024305D"/>
    <w:rsid w:val="00244442"/>
    <w:rsid w:val="0024498F"/>
    <w:rsid w:val="00247014"/>
    <w:rsid w:val="002504F9"/>
    <w:rsid w:val="00250C39"/>
    <w:rsid w:val="00250E25"/>
    <w:rsid w:val="00251EE2"/>
    <w:rsid w:val="00252CE1"/>
    <w:rsid w:val="0025338B"/>
    <w:rsid w:val="0025395A"/>
    <w:rsid w:val="002539C6"/>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1B43"/>
    <w:rsid w:val="00272160"/>
    <w:rsid w:val="00272D78"/>
    <w:rsid w:val="00273E66"/>
    <w:rsid w:val="00273FEB"/>
    <w:rsid w:val="002754FA"/>
    <w:rsid w:val="00276114"/>
    <w:rsid w:val="0027637A"/>
    <w:rsid w:val="002763A4"/>
    <w:rsid w:val="002765AF"/>
    <w:rsid w:val="00276AF9"/>
    <w:rsid w:val="00277212"/>
    <w:rsid w:val="00277398"/>
    <w:rsid w:val="002773DB"/>
    <w:rsid w:val="00277791"/>
    <w:rsid w:val="002777DF"/>
    <w:rsid w:val="002807CC"/>
    <w:rsid w:val="00280C69"/>
    <w:rsid w:val="00280EC5"/>
    <w:rsid w:val="00281A75"/>
    <w:rsid w:val="00281F6C"/>
    <w:rsid w:val="0028234F"/>
    <w:rsid w:val="0028452B"/>
    <w:rsid w:val="00284D74"/>
    <w:rsid w:val="00285DDF"/>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9B8"/>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1A5"/>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5A"/>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9BA"/>
    <w:rsid w:val="00327C29"/>
    <w:rsid w:val="00330E29"/>
    <w:rsid w:val="003314BB"/>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3DB2"/>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97160"/>
    <w:rsid w:val="003A0693"/>
    <w:rsid w:val="003A2056"/>
    <w:rsid w:val="003A2E60"/>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6F03"/>
    <w:rsid w:val="003B7DE9"/>
    <w:rsid w:val="003C1EA0"/>
    <w:rsid w:val="003C219B"/>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3A0"/>
    <w:rsid w:val="003E374E"/>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1798"/>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1F14"/>
    <w:rsid w:val="0042209A"/>
    <w:rsid w:val="0042222E"/>
    <w:rsid w:val="00422416"/>
    <w:rsid w:val="004226CD"/>
    <w:rsid w:val="00422766"/>
    <w:rsid w:val="004236F4"/>
    <w:rsid w:val="00423C96"/>
    <w:rsid w:val="00425453"/>
    <w:rsid w:val="004260D4"/>
    <w:rsid w:val="004260DE"/>
    <w:rsid w:val="0042761F"/>
    <w:rsid w:val="00427B15"/>
    <w:rsid w:val="00430B2F"/>
    <w:rsid w:val="00430D67"/>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79F"/>
    <w:rsid w:val="00442B17"/>
    <w:rsid w:val="0044300A"/>
    <w:rsid w:val="004438A7"/>
    <w:rsid w:val="00444336"/>
    <w:rsid w:val="00444A6A"/>
    <w:rsid w:val="0044563B"/>
    <w:rsid w:val="00445F97"/>
    <w:rsid w:val="004461CD"/>
    <w:rsid w:val="00446742"/>
    <w:rsid w:val="00446920"/>
    <w:rsid w:val="00446A96"/>
    <w:rsid w:val="00446C00"/>
    <w:rsid w:val="004474C1"/>
    <w:rsid w:val="0044763A"/>
    <w:rsid w:val="00447E12"/>
    <w:rsid w:val="00447E27"/>
    <w:rsid w:val="004507D8"/>
    <w:rsid w:val="00451431"/>
    <w:rsid w:val="004516EC"/>
    <w:rsid w:val="00452B20"/>
    <w:rsid w:val="00453D7B"/>
    <w:rsid w:val="004548ED"/>
    <w:rsid w:val="00454A2A"/>
    <w:rsid w:val="00454A31"/>
    <w:rsid w:val="00455C55"/>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AAE"/>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2B"/>
    <w:rsid w:val="00485AD8"/>
    <w:rsid w:val="00485EC2"/>
    <w:rsid w:val="0048627F"/>
    <w:rsid w:val="00486D0D"/>
    <w:rsid w:val="00486F89"/>
    <w:rsid w:val="00486F9E"/>
    <w:rsid w:val="004872D7"/>
    <w:rsid w:val="0048779B"/>
    <w:rsid w:val="00487D8A"/>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4FE"/>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645"/>
    <w:rsid w:val="004D2D1C"/>
    <w:rsid w:val="004D2EAF"/>
    <w:rsid w:val="004D4045"/>
    <w:rsid w:val="004D4171"/>
    <w:rsid w:val="004D4B8D"/>
    <w:rsid w:val="004D4C72"/>
    <w:rsid w:val="004D4FFD"/>
    <w:rsid w:val="004D5173"/>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BFE"/>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57844"/>
    <w:rsid w:val="00560433"/>
    <w:rsid w:val="00560464"/>
    <w:rsid w:val="00560623"/>
    <w:rsid w:val="0056090D"/>
    <w:rsid w:val="005615E4"/>
    <w:rsid w:val="00563842"/>
    <w:rsid w:val="00563B4D"/>
    <w:rsid w:val="00563CD8"/>
    <w:rsid w:val="00564801"/>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6F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BA6"/>
    <w:rsid w:val="00584C74"/>
    <w:rsid w:val="00585601"/>
    <w:rsid w:val="0058589F"/>
    <w:rsid w:val="005858A3"/>
    <w:rsid w:val="0058593A"/>
    <w:rsid w:val="00585FFF"/>
    <w:rsid w:val="0058649E"/>
    <w:rsid w:val="0058662F"/>
    <w:rsid w:val="0058694F"/>
    <w:rsid w:val="00586ED1"/>
    <w:rsid w:val="005878D0"/>
    <w:rsid w:val="00587E65"/>
    <w:rsid w:val="0059101B"/>
    <w:rsid w:val="00591FA5"/>
    <w:rsid w:val="00592474"/>
    <w:rsid w:val="0059286F"/>
    <w:rsid w:val="00592BC7"/>
    <w:rsid w:val="00592F54"/>
    <w:rsid w:val="00593641"/>
    <w:rsid w:val="00593EBB"/>
    <w:rsid w:val="00596960"/>
    <w:rsid w:val="005970A9"/>
    <w:rsid w:val="00597579"/>
    <w:rsid w:val="00597823"/>
    <w:rsid w:val="00597BF2"/>
    <w:rsid w:val="005A015C"/>
    <w:rsid w:val="005A04AA"/>
    <w:rsid w:val="005A09BB"/>
    <w:rsid w:val="005A0E43"/>
    <w:rsid w:val="005A32D3"/>
    <w:rsid w:val="005A33BD"/>
    <w:rsid w:val="005A3D7E"/>
    <w:rsid w:val="005A4A78"/>
    <w:rsid w:val="005A4DFB"/>
    <w:rsid w:val="005A542C"/>
    <w:rsid w:val="005A5CE8"/>
    <w:rsid w:val="005A602F"/>
    <w:rsid w:val="005A65E6"/>
    <w:rsid w:val="005A6B14"/>
    <w:rsid w:val="005A7161"/>
    <w:rsid w:val="005A7312"/>
    <w:rsid w:val="005A742F"/>
    <w:rsid w:val="005A797A"/>
    <w:rsid w:val="005A7CF8"/>
    <w:rsid w:val="005B0365"/>
    <w:rsid w:val="005B04D8"/>
    <w:rsid w:val="005B085D"/>
    <w:rsid w:val="005B10B5"/>
    <w:rsid w:val="005B1A17"/>
    <w:rsid w:val="005B1B77"/>
    <w:rsid w:val="005B2321"/>
    <w:rsid w:val="005B289F"/>
    <w:rsid w:val="005B28D1"/>
    <w:rsid w:val="005B29C6"/>
    <w:rsid w:val="005B425D"/>
    <w:rsid w:val="005B496D"/>
    <w:rsid w:val="005B4D7C"/>
    <w:rsid w:val="005B52C4"/>
    <w:rsid w:val="005C026B"/>
    <w:rsid w:val="005C0790"/>
    <w:rsid w:val="005C194C"/>
    <w:rsid w:val="005C2667"/>
    <w:rsid w:val="005C295A"/>
    <w:rsid w:val="005C2C21"/>
    <w:rsid w:val="005C3B4F"/>
    <w:rsid w:val="005C44D1"/>
    <w:rsid w:val="005C52A6"/>
    <w:rsid w:val="005C6812"/>
    <w:rsid w:val="005C6D2C"/>
    <w:rsid w:val="005C70B5"/>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64E"/>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434"/>
    <w:rsid w:val="0063460D"/>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6DEF"/>
    <w:rsid w:val="00687C15"/>
    <w:rsid w:val="00690202"/>
    <w:rsid w:val="006909A7"/>
    <w:rsid w:val="006913AD"/>
    <w:rsid w:val="006917AF"/>
    <w:rsid w:val="006919C1"/>
    <w:rsid w:val="0069283D"/>
    <w:rsid w:val="00692A50"/>
    <w:rsid w:val="00693997"/>
    <w:rsid w:val="00693B34"/>
    <w:rsid w:val="00694B18"/>
    <w:rsid w:val="00694B30"/>
    <w:rsid w:val="00694B8A"/>
    <w:rsid w:val="00694C2D"/>
    <w:rsid w:val="00696693"/>
    <w:rsid w:val="00697304"/>
    <w:rsid w:val="006A0C3B"/>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5240"/>
    <w:rsid w:val="006D5A1F"/>
    <w:rsid w:val="006D618E"/>
    <w:rsid w:val="006D62DA"/>
    <w:rsid w:val="006D662E"/>
    <w:rsid w:val="006D66E8"/>
    <w:rsid w:val="006D6AEC"/>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1E72"/>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583D"/>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5890"/>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2C13"/>
    <w:rsid w:val="00773060"/>
    <w:rsid w:val="007730EC"/>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4876"/>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18B8"/>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E28"/>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9B2"/>
    <w:rsid w:val="008D5BCA"/>
    <w:rsid w:val="008E07BA"/>
    <w:rsid w:val="008E0BDD"/>
    <w:rsid w:val="008E0F0D"/>
    <w:rsid w:val="008E1130"/>
    <w:rsid w:val="008E160B"/>
    <w:rsid w:val="008E170C"/>
    <w:rsid w:val="008E24FB"/>
    <w:rsid w:val="008E2934"/>
    <w:rsid w:val="008E3173"/>
    <w:rsid w:val="008E40F9"/>
    <w:rsid w:val="008E4479"/>
    <w:rsid w:val="008E4958"/>
    <w:rsid w:val="008E510A"/>
    <w:rsid w:val="008E5BF5"/>
    <w:rsid w:val="008E6B75"/>
    <w:rsid w:val="008E6C61"/>
    <w:rsid w:val="008E7659"/>
    <w:rsid w:val="008E7F9D"/>
    <w:rsid w:val="008F05DE"/>
    <w:rsid w:val="008F09AE"/>
    <w:rsid w:val="008F0AC3"/>
    <w:rsid w:val="008F1DC5"/>
    <w:rsid w:val="008F1F8E"/>
    <w:rsid w:val="008F2299"/>
    <w:rsid w:val="008F2441"/>
    <w:rsid w:val="008F28C0"/>
    <w:rsid w:val="008F2AFB"/>
    <w:rsid w:val="008F395F"/>
    <w:rsid w:val="008F4B96"/>
    <w:rsid w:val="008F53E8"/>
    <w:rsid w:val="008F58D0"/>
    <w:rsid w:val="008F5B6A"/>
    <w:rsid w:val="008F5F59"/>
    <w:rsid w:val="008F640B"/>
    <w:rsid w:val="008F79F2"/>
    <w:rsid w:val="008F7B57"/>
    <w:rsid w:val="0090242B"/>
    <w:rsid w:val="00903866"/>
    <w:rsid w:val="00904AC3"/>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B54"/>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A57"/>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E72FE"/>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42E0"/>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6451"/>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1AB"/>
    <w:rsid w:val="00A82509"/>
    <w:rsid w:val="00A82DDB"/>
    <w:rsid w:val="00A83FA7"/>
    <w:rsid w:val="00A84AD9"/>
    <w:rsid w:val="00A84CB5"/>
    <w:rsid w:val="00A85D18"/>
    <w:rsid w:val="00A8608E"/>
    <w:rsid w:val="00A86211"/>
    <w:rsid w:val="00A87B90"/>
    <w:rsid w:val="00A87BF7"/>
    <w:rsid w:val="00A9069E"/>
    <w:rsid w:val="00A9152C"/>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081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161"/>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77C"/>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4F28"/>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D2A"/>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E7F28"/>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4E66"/>
    <w:rsid w:val="00C05AC4"/>
    <w:rsid w:val="00C06539"/>
    <w:rsid w:val="00C100F8"/>
    <w:rsid w:val="00C103C4"/>
    <w:rsid w:val="00C11959"/>
    <w:rsid w:val="00C11CD0"/>
    <w:rsid w:val="00C1258B"/>
    <w:rsid w:val="00C12A64"/>
    <w:rsid w:val="00C1305C"/>
    <w:rsid w:val="00C132E2"/>
    <w:rsid w:val="00C13981"/>
    <w:rsid w:val="00C13B83"/>
    <w:rsid w:val="00C13C5D"/>
    <w:rsid w:val="00C13C9B"/>
    <w:rsid w:val="00C13D90"/>
    <w:rsid w:val="00C14080"/>
    <w:rsid w:val="00C147CB"/>
    <w:rsid w:val="00C14998"/>
    <w:rsid w:val="00C14AE0"/>
    <w:rsid w:val="00C14D20"/>
    <w:rsid w:val="00C15E25"/>
    <w:rsid w:val="00C168A4"/>
    <w:rsid w:val="00C168D7"/>
    <w:rsid w:val="00C1728D"/>
    <w:rsid w:val="00C1768D"/>
    <w:rsid w:val="00C202AC"/>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8A2"/>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4C5"/>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3E48"/>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3CFB"/>
    <w:rsid w:val="00C846AC"/>
    <w:rsid w:val="00C8494C"/>
    <w:rsid w:val="00C85BB7"/>
    <w:rsid w:val="00C86B76"/>
    <w:rsid w:val="00C86EE2"/>
    <w:rsid w:val="00C870C6"/>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3FE"/>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40D6"/>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8CA"/>
    <w:rsid w:val="00D17BE1"/>
    <w:rsid w:val="00D20446"/>
    <w:rsid w:val="00D20EFA"/>
    <w:rsid w:val="00D2121B"/>
    <w:rsid w:val="00D215BF"/>
    <w:rsid w:val="00D21D0C"/>
    <w:rsid w:val="00D2332E"/>
    <w:rsid w:val="00D24201"/>
    <w:rsid w:val="00D242A6"/>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8"/>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3F83"/>
    <w:rsid w:val="00E54271"/>
    <w:rsid w:val="00E5515A"/>
    <w:rsid w:val="00E552B0"/>
    <w:rsid w:val="00E55E39"/>
    <w:rsid w:val="00E55E94"/>
    <w:rsid w:val="00E5648B"/>
    <w:rsid w:val="00E56F98"/>
    <w:rsid w:val="00E60126"/>
    <w:rsid w:val="00E60F51"/>
    <w:rsid w:val="00E61AD9"/>
    <w:rsid w:val="00E625E8"/>
    <w:rsid w:val="00E62DE9"/>
    <w:rsid w:val="00E630B7"/>
    <w:rsid w:val="00E634DA"/>
    <w:rsid w:val="00E634FA"/>
    <w:rsid w:val="00E63F7A"/>
    <w:rsid w:val="00E6537C"/>
    <w:rsid w:val="00E6556D"/>
    <w:rsid w:val="00E6597E"/>
    <w:rsid w:val="00E65C93"/>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286"/>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C88"/>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0D01"/>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6425"/>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555F"/>
    <w:rsid w:val="00F56998"/>
    <w:rsid w:val="00F56BBE"/>
    <w:rsid w:val="00F579AF"/>
    <w:rsid w:val="00F57D1B"/>
    <w:rsid w:val="00F602A6"/>
    <w:rsid w:val="00F60349"/>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825"/>
    <w:rsid w:val="00F75C81"/>
    <w:rsid w:val="00F760BB"/>
    <w:rsid w:val="00F76A97"/>
    <w:rsid w:val="00F76D3C"/>
    <w:rsid w:val="00F77B5A"/>
    <w:rsid w:val="00F77CFC"/>
    <w:rsid w:val="00F803E8"/>
    <w:rsid w:val="00F810F2"/>
    <w:rsid w:val="00F81192"/>
    <w:rsid w:val="00F81513"/>
    <w:rsid w:val="00F81D51"/>
    <w:rsid w:val="00F82083"/>
    <w:rsid w:val="00F82179"/>
    <w:rsid w:val="00F826EA"/>
    <w:rsid w:val="00F82E88"/>
    <w:rsid w:val="00F83AB3"/>
    <w:rsid w:val="00F84B1F"/>
    <w:rsid w:val="00F859EC"/>
    <w:rsid w:val="00F85A23"/>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C44"/>
    <w:rsid w:val="00FA6ECF"/>
    <w:rsid w:val="00FA74FF"/>
    <w:rsid w:val="00FA7AA6"/>
    <w:rsid w:val="00FA7C01"/>
    <w:rsid w:val="00FA7C9C"/>
    <w:rsid w:val="00FA7D10"/>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1064"/>
    <w:rsid w:val="00FE2763"/>
    <w:rsid w:val="00FE2E74"/>
    <w:rsid w:val="00FE3153"/>
    <w:rsid w:val="00FE3327"/>
    <w:rsid w:val="00FE357C"/>
    <w:rsid w:val="00FE3FB8"/>
    <w:rsid w:val="00FE41B8"/>
    <w:rsid w:val="00FE4729"/>
    <w:rsid w:val="00FE4ABC"/>
    <w:rsid w:val="00FE4D3E"/>
    <w:rsid w:val="00FE4F0E"/>
    <w:rsid w:val="00FE6BAD"/>
    <w:rsid w:val="00FE6FF7"/>
    <w:rsid w:val="00FE78A7"/>
    <w:rsid w:val="00FE7C80"/>
    <w:rsid w:val="00FF2F94"/>
    <w:rsid w:val="00FF35C5"/>
    <w:rsid w:val="00FF37B2"/>
    <w:rsid w:val="00FF530E"/>
    <w:rsid w:val="00FF5558"/>
    <w:rsid w:val="00FF5C3C"/>
    <w:rsid w:val="00FF66BF"/>
    <w:rsid w:val="00FF7695"/>
    <w:rsid w:val="29729D5D"/>
    <w:rsid w:val="456B1CF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6C748D2-F6B6-4F6B-984B-81738D839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Type">
    <w:name w:val="Type"/>
    <w:basedOn w:val="Normal"/>
    <w:link w:val="TypeChar"/>
    <w:qFormat/>
    <w:rsid w:val="003279BA"/>
    <w:pPr>
      <w:jc w:val="center"/>
    </w:pPr>
    <w:rPr>
      <w:b/>
      <w:bCs/>
    </w:rPr>
  </w:style>
  <w:style w:type="character" w:customStyle="1" w:styleId="TypeChar">
    <w:name w:val="Type Char"/>
    <w:basedOn w:val="DefaultParagraphFont"/>
    <w:link w:val="Type"/>
    <w:rsid w:val="003279BA"/>
    <w:rPr>
      <w:rFonts w:ascii="CVS Health Sans" w:hAnsi="CVS Health Sans"/>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37611">
      <w:bodyDiv w:val="1"/>
      <w:marLeft w:val="0"/>
      <w:marRight w:val="0"/>
      <w:marTop w:val="0"/>
      <w:marBottom w:val="0"/>
      <w:divBdr>
        <w:top w:val="none" w:sz="0" w:space="0" w:color="auto"/>
        <w:left w:val="none" w:sz="0" w:space="0" w:color="auto"/>
        <w:bottom w:val="none" w:sz="0" w:space="0" w:color="auto"/>
        <w:right w:val="none" w:sz="0" w:space="0" w:color="auto"/>
      </w:divBdr>
    </w:div>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28099293">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2.xml><?xml version="1.0" encoding="utf-8"?>
<ds:datastoreItem xmlns:ds="http://schemas.openxmlformats.org/officeDocument/2006/customXml" ds:itemID="{FBA0D76E-81D1-4369-9035-524B637691D5}"/>
</file>

<file path=customXml/itemProps3.xml><?xml version="1.0" encoding="utf-8"?>
<ds:datastoreItem xmlns:ds="http://schemas.openxmlformats.org/officeDocument/2006/customXml" ds:itemID="{A243CFE1-08DE-432F-83DD-4933F5F97812}">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097baaf9-fe6e-444b-a443-f8829fe0d752"/>
    <ds:schemaRef ds:uri="2d971b4b-3871-4fed-95a2-90db307505b7"/>
    <ds:schemaRef ds:uri="http://www.w3.org/XML/1998/namespace"/>
    <ds:schemaRef ds:uri="http://purl.org/dc/dcmitype/"/>
  </ds:schemaRefs>
</ds:datastoreItem>
</file>

<file path=customXml/itemProps4.xml><?xml version="1.0" encoding="utf-8"?>
<ds:datastoreItem xmlns:ds="http://schemas.openxmlformats.org/officeDocument/2006/customXml" ds:itemID="{4A7F81AD-9CFD-4156-AD97-1CF8E0ECD50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1293</Words>
  <Characters>8506</Characters>
  <Application>Microsoft Office Word</Application>
  <DocSecurity>0</DocSecurity>
  <Lines>163</Lines>
  <Paragraphs>107</Paragraphs>
  <ScaleCrop>false</ScaleCrop>
  <HeadingPairs>
    <vt:vector size="2" baseType="variant">
      <vt:variant>
        <vt:lpstr>Title</vt:lpstr>
      </vt:variant>
      <vt:variant>
        <vt:i4>1</vt:i4>
      </vt:variant>
    </vt:vector>
  </HeadingPairs>
  <TitlesOfParts>
    <vt:vector size="1" baseType="lpstr">
      <vt:lpstr>UM PrimaryTemplate</vt:lpstr>
    </vt:vector>
  </TitlesOfParts>
  <Company>PCS Health Systems</Company>
  <LinksUpToDate>false</LinksUpToDate>
  <CharactersWithSpaces>9692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everolimus-Afinitor Products 2021-A SGM 2024</dc:title>
  <dc:subject/>
  <dc:creator>CVS Caremark</dc:creator>
  <cp:keywords/>
  <cp:lastModifiedBy>Clark, Shannon I</cp:lastModifiedBy>
  <cp:revision>3</cp:revision>
  <cp:lastPrinted>2018-01-09T11:01:00Z</cp:lastPrinted>
  <dcterms:created xsi:type="dcterms:W3CDTF">2024-12-31T18:39:00Z</dcterms:created>
  <dcterms:modified xsi:type="dcterms:W3CDTF">2024-12-31T18:39:00Z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12852900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